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D2" w:rsidRPr="009A309A" w:rsidRDefault="00C059D2" w:rsidP="00C059D2">
      <w:pPr>
        <w:spacing w:after="120" w:line="240" w:lineRule="auto"/>
        <w:jc w:val="center"/>
        <w:rPr>
          <w:rFonts w:ascii="Times New Roman" w:hAnsi="Times New Roman"/>
          <w:sz w:val="24"/>
          <w:szCs w:val="24"/>
          <w:lang w:eastAsia="ru-RU"/>
        </w:rPr>
      </w:pPr>
    </w:p>
    <w:p w:rsidR="00C059D2" w:rsidRPr="009A309A" w:rsidRDefault="00C059D2" w:rsidP="00C059D2">
      <w:pPr>
        <w:spacing w:after="120" w:line="240" w:lineRule="auto"/>
        <w:jc w:val="center"/>
        <w:rPr>
          <w:rFonts w:ascii="Times New Roman" w:hAnsi="Times New Roman"/>
          <w:sz w:val="24"/>
          <w:szCs w:val="24"/>
          <w:lang w:eastAsia="ru-RU"/>
        </w:rPr>
      </w:pP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 xml:space="preserve">Договор подряда № </w:t>
      </w:r>
      <w:r w:rsidRPr="009A309A">
        <w:rPr>
          <w:rFonts w:ascii="Times New Roman" w:hAnsi="Times New Roman"/>
          <w:b/>
          <w:sz w:val="24"/>
          <w:szCs w:val="24"/>
          <w:lang w:eastAsia="ru-RU"/>
        </w:rPr>
        <w:softHyphen/>
      </w:r>
      <w:r w:rsidRPr="009A309A">
        <w:rPr>
          <w:rFonts w:ascii="Times New Roman" w:hAnsi="Times New Roman"/>
          <w:b/>
          <w:sz w:val="24"/>
          <w:szCs w:val="24"/>
          <w:lang w:eastAsia="ru-RU"/>
        </w:rPr>
        <w:softHyphen/>
      </w:r>
      <w:r w:rsidRPr="009A309A">
        <w:rPr>
          <w:rFonts w:ascii="Times New Roman" w:hAnsi="Times New Roman"/>
          <w:b/>
          <w:sz w:val="24"/>
          <w:szCs w:val="24"/>
          <w:lang w:eastAsia="ru-RU"/>
        </w:rPr>
        <w:softHyphen/>
        <w:t>-</w:t>
      </w:r>
    </w:p>
    <w:p w:rsidR="00C059D2" w:rsidRPr="009A309A" w:rsidRDefault="00C059D2" w:rsidP="00C059D2">
      <w:pPr>
        <w:tabs>
          <w:tab w:val="left" w:pos="765"/>
          <w:tab w:val="center" w:pos="4677"/>
        </w:tabs>
        <w:spacing w:after="120" w:line="240" w:lineRule="auto"/>
        <w:rPr>
          <w:rFonts w:ascii="Times New Roman" w:hAnsi="Times New Roman"/>
          <w:sz w:val="24"/>
          <w:szCs w:val="24"/>
          <w:lang w:eastAsia="ru-RU"/>
        </w:rPr>
      </w:pPr>
      <w:r w:rsidRPr="009A309A">
        <w:rPr>
          <w:rFonts w:ascii="Times New Roman" w:hAnsi="Times New Roman"/>
          <w:sz w:val="24"/>
          <w:szCs w:val="24"/>
          <w:lang w:eastAsia="ru-RU"/>
        </w:rPr>
        <w:t xml:space="preserve">        г. Ташкент                </w:t>
      </w:r>
      <w:r w:rsidRPr="009A309A">
        <w:rPr>
          <w:rFonts w:ascii="Times New Roman" w:hAnsi="Times New Roman"/>
          <w:sz w:val="24"/>
          <w:szCs w:val="24"/>
          <w:lang w:eastAsia="ru-RU"/>
        </w:rPr>
        <w:tab/>
      </w:r>
      <w:r w:rsidRPr="009A309A">
        <w:rPr>
          <w:rFonts w:ascii="Times New Roman" w:hAnsi="Times New Roman"/>
          <w:sz w:val="24"/>
          <w:szCs w:val="24"/>
          <w:lang w:eastAsia="ru-RU"/>
        </w:rPr>
        <w:tab/>
      </w:r>
      <w:r w:rsidRPr="009A309A">
        <w:rPr>
          <w:rFonts w:ascii="Times New Roman" w:hAnsi="Times New Roman"/>
          <w:sz w:val="24"/>
          <w:szCs w:val="24"/>
          <w:lang w:eastAsia="ru-RU"/>
        </w:rPr>
        <w:tab/>
      </w:r>
      <w:r w:rsidRPr="009A309A">
        <w:rPr>
          <w:rFonts w:ascii="Times New Roman" w:hAnsi="Times New Roman"/>
          <w:sz w:val="24"/>
          <w:szCs w:val="24"/>
          <w:lang w:eastAsia="ru-RU"/>
        </w:rPr>
        <w:tab/>
      </w:r>
      <w:r w:rsidRPr="009A309A">
        <w:rPr>
          <w:rFonts w:ascii="Times New Roman" w:hAnsi="Times New Roman"/>
          <w:sz w:val="24"/>
          <w:szCs w:val="24"/>
          <w:lang w:eastAsia="ru-RU"/>
        </w:rPr>
        <w:tab/>
        <w:t xml:space="preserve">    «____» ________  2019г.</w:t>
      </w:r>
    </w:p>
    <w:p w:rsidR="00C059D2" w:rsidRPr="009A309A" w:rsidRDefault="00C059D2" w:rsidP="00C059D2">
      <w:pPr>
        <w:spacing w:after="12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    </w:t>
      </w:r>
    </w:p>
    <w:p w:rsidR="00C059D2" w:rsidRPr="009A309A" w:rsidRDefault="00C059D2" w:rsidP="00C059D2">
      <w:pPr>
        <w:pStyle w:val="21"/>
        <w:shd w:val="clear" w:color="auto" w:fill="auto"/>
        <w:spacing w:after="120"/>
        <w:ind w:left="22" w:firstLine="0"/>
        <w:jc w:val="both"/>
        <w:rPr>
          <w:rFonts w:ascii="Times New Roman" w:hAnsi="Times New Roman"/>
          <w:sz w:val="28"/>
          <w:szCs w:val="28"/>
        </w:rPr>
      </w:pPr>
      <w:r w:rsidRPr="009A309A">
        <w:rPr>
          <w:rFonts w:ascii="Times New Roman" w:hAnsi="Times New Roman"/>
          <w:sz w:val="24"/>
          <w:szCs w:val="24"/>
          <w:lang w:eastAsia="ru-RU"/>
        </w:rPr>
        <w:t xml:space="preserve">_____________________в лице директор_______________________, действующего на основании Устава именуемый в дальнейшем «ПОДРЯДЧИК», с одной стороны </w:t>
      </w:r>
      <w:r>
        <w:rPr>
          <w:rFonts w:ascii="Times New Roman" w:hAnsi="Times New Roman"/>
          <w:sz w:val="24"/>
          <w:szCs w:val="24"/>
          <w:lang w:eastAsia="ru-RU"/>
        </w:rPr>
        <w:t xml:space="preserve">    </w:t>
      </w:r>
      <w:r w:rsidRPr="009A309A">
        <w:rPr>
          <w:rFonts w:ascii="Times New Roman" w:hAnsi="Times New Roman"/>
          <w:sz w:val="24"/>
          <w:szCs w:val="24"/>
          <w:lang w:eastAsia="ru-RU"/>
        </w:rPr>
        <w:t xml:space="preserve"> </w:t>
      </w: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   </w:t>
      </w:r>
      <w:r w:rsidRPr="009A309A">
        <w:rPr>
          <w:rFonts w:ascii="Times New Roman" w:hAnsi="Times New Roman"/>
          <w:sz w:val="24"/>
          <w:szCs w:val="24"/>
          <w:lang w:eastAsia="ru-RU"/>
        </w:rPr>
        <w:t>«</w:t>
      </w:r>
      <w:proofErr w:type="gramEnd"/>
      <w:r w:rsidR="00726F6C">
        <w:rPr>
          <w:rFonts w:ascii="Times New Roman" w:hAnsi="Times New Roman"/>
          <w:sz w:val="24"/>
          <w:szCs w:val="24"/>
          <w:lang w:eastAsia="ru-RU"/>
        </w:rPr>
        <w:t xml:space="preserve">Худудгаз </w:t>
      </w:r>
      <w:proofErr w:type="spellStart"/>
      <w:r w:rsidR="00726F6C">
        <w:rPr>
          <w:rFonts w:ascii="Times New Roman" w:hAnsi="Times New Roman"/>
          <w:sz w:val="24"/>
          <w:szCs w:val="24"/>
          <w:lang w:eastAsia="ru-RU"/>
        </w:rPr>
        <w:t>Пойтахт</w:t>
      </w:r>
      <w:proofErr w:type="spellEnd"/>
      <w:r>
        <w:rPr>
          <w:rFonts w:ascii="Times New Roman" w:hAnsi="Times New Roman"/>
          <w:sz w:val="24"/>
          <w:szCs w:val="24"/>
          <w:lang w:eastAsia="ru-RU"/>
        </w:rPr>
        <w:t>»</w:t>
      </w:r>
      <w:r w:rsidR="00726F6C">
        <w:rPr>
          <w:rFonts w:ascii="Times New Roman" w:hAnsi="Times New Roman"/>
          <w:sz w:val="24"/>
          <w:szCs w:val="24"/>
          <w:lang w:eastAsia="ru-RU"/>
        </w:rPr>
        <w:t xml:space="preserve"> </w:t>
      </w:r>
      <w:proofErr w:type="spellStart"/>
      <w:r w:rsidR="00726F6C">
        <w:rPr>
          <w:rFonts w:ascii="Times New Roman" w:hAnsi="Times New Roman"/>
          <w:sz w:val="24"/>
          <w:szCs w:val="24"/>
          <w:lang w:eastAsia="ru-RU"/>
        </w:rPr>
        <w:t>гтф</w:t>
      </w:r>
      <w:proofErr w:type="spellEnd"/>
      <w:r>
        <w:rPr>
          <w:rFonts w:ascii="Times New Roman" w:hAnsi="Times New Roman"/>
          <w:sz w:val="24"/>
          <w:szCs w:val="24"/>
          <w:lang w:eastAsia="ru-RU"/>
        </w:rPr>
        <w:t xml:space="preserve"> </w:t>
      </w:r>
      <w:r w:rsidRPr="009A309A">
        <w:rPr>
          <w:rFonts w:ascii="Times New Roman" w:hAnsi="Times New Roman"/>
          <w:sz w:val="24"/>
          <w:szCs w:val="24"/>
          <w:lang w:eastAsia="ru-RU"/>
        </w:rPr>
        <w:t>в лице _____________________________________ действующего на основании _____________, именуемый в дальнейшем «ЗАКАЗЧИК», заключили настоящий договор подряда на: Строительство «</w:t>
      </w:r>
      <w:r w:rsidR="00726F6C">
        <w:rPr>
          <w:rFonts w:ascii="Times New Roman" w:hAnsi="Times New Roman"/>
          <w:sz w:val="24"/>
          <w:szCs w:val="24"/>
          <w:lang w:eastAsia="ru-RU"/>
        </w:rPr>
        <w:t>__________________________________________________</w:t>
      </w:r>
      <w:r w:rsidRPr="009A309A">
        <w:rPr>
          <w:rFonts w:ascii="Times New Roman" w:hAnsi="Times New Roman"/>
          <w:sz w:val="24"/>
          <w:szCs w:val="24"/>
          <w:lang w:eastAsia="ru-RU"/>
        </w:rPr>
        <w:t xml:space="preserve">» </w:t>
      </w:r>
    </w:p>
    <w:p w:rsidR="00C059D2" w:rsidRPr="009A309A" w:rsidRDefault="00C059D2" w:rsidP="00C059D2">
      <w:pPr>
        <w:spacing w:after="120" w:line="240" w:lineRule="auto"/>
        <w:jc w:val="both"/>
        <w:rPr>
          <w:rFonts w:ascii="Times New Roman" w:hAnsi="Times New Roman"/>
          <w:sz w:val="24"/>
          <w:szCs w:val="24"/>
          <w:lang w:eastAsia="ru-RU"/>
        </w:rPr>
      </w:pP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1. Предмет договора</w:t>
      </w:r>
    </w:p>
    <w:p w:rsidR="00C059D2" w:rsidRPr="009A309A" w:rsidRDefault="00C059D2" w:rsidP="00C059D2">
      <w:pPr>
        <w:spacing w:after="120" w:line="240" w:lineRule="auto"/>
        <w:jc w:val="both"/>
        <w:rPr>
          <w:rFonts w:ascii="Times New Roman" w:hAnsi="Times New Roman"/>
          <w:sz w:val="24"/>
          <w:szCs w:val="24"/>
          <w:lang w:eastAsia="ru-RU"/>
        </w:rPr>
      </w:pPr>
      <w:r w:rsidRPr="009A309A">
        <w:rPr>
          <w:rFonts w:ascii="Times New Roman" w:hAnsi="Times New Roman"/>
          <w:sz w:val="24"/>
          <w:szCs w:val="24"/>
          <w:lang w:eastAsia="ru-RU"/>
        </w:rPr>
        <w:t>1. ПОДРЯДЧИК обязуется в соответствии с условиями настоящего договора выполнить  работы, предусмотренные сметной документации, а ЗАКАЗЧИК обязуется создать для ПОДРЯДЧИКА необходимые условия для выполнения строительных работ, принять их и производить оплату.</w:t>
      </w: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2.Стоимость работ по договору</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2. Стоимость работ, выполняемых ПОДРЯДЧИКОМ по настоящему договору, составляет ______________________________________________________________ сум. в текущих ценах, включая все сборы, налоги и отчисления.</w:t>
      </w:r>
    </w:p>
    <w:p w:rsidR="00C059D2" w:rsidRPr="009A309A" w:rsidRDefault="00C059D2" w:rsidP="00C059D2">
      <w:pPr>
        <w:spacing w:after="120" w:line="240" w:lineRule="auto"/>
        <w:jc w:val="both"/>
        <w:rPr>
          <w:rFonts w:ascii="Times New Roman" w:hAnsi="Times New Roman"/>
          <w:sz w:val="24"/>
          <w:szCs w:val="24"/>
          <w:lang w:eastAsia="ru-RU"/>
        </w:rPr>
      </w:pPr>
      <w:r w:rsidRPr="009A309A">
        <w:rPr>
          <w:rFonts w:ascii="Times New Roman" w:hAnsi="Times New Roman"/>
          <w:sz w:val="24"/>
          <w:szCs w:val="24"/>
          <w:lang w:eastAsia="ru-RU"/>
        </w:rPr>
        <w:t>3. Стоимость работ является окончательной и в дальнейшем пересмотру не подлежит кроме случаев: когда причиной увеличение стоимости работ явились обстоятельства непреодолимой силы (форс-мажор); изменение объемов работ ЗАКАЗЧИКОМ в установленном порядке; работ объекта более одного года.</w:t>
      </w:r>
    </w:p>
    <w:p w:rsidR="00C059D2" w:rsidRPr="009A309A" w:rsidRDefault="00C059D2" w:rsidP="00C059D2">
      <w:pPr>
        <w:spacing w:after="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3. Обязательства ПОДРЯДЧИКА</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4. По настоящему договору ПОДРЯДЧИК для выполнения работ по тендерное документации, выполнить своими и (или) привлеченными силами все работы в объемах и сроки, предусмотренных в настоящем договоре и сдать работы ЗАКАЗЧИКУ в соответствии с условиями настоящего договора.</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5.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 настоящему договору.</w:t>
      </w:r>
    </w:p>
    <w:p w:rsidR="00C059D2" w:rsidRPr="009A309A" w:rsidRDefault="00C059D2" w:rsidP="00C059D2">
      <w:pPr>
        <w:spacing w:after="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4. Обязательства ЗАКАЗЧИКА</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6. Для выполнения настоящего договора ЗАКАЗЧИК обязуется: предоставить в трехдневный срок со дня подписания настоящего договора ПОДРЯДЧИКУ по работу сметную документацию согласно объемам, выставленным по тендеру.</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 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в десятидневный срок рассматривать и оформлять решение по всем обращениям ПОДРЯДЧИКА; производить авансирование и текущее финансирование ПОДРЯДЧИКА в соответствии с пунктом №6</w:t>
      </w: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5.Сроки выполнения работ</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7. Дата вступления договора силу -с момента подписания его сторонами</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8. ПОДРЯДЧИК приступает к выполнению работ _ дней дня оплаты аванса, а также передачи надлежаще оформленной проектно-сметной документации на весь объем работ. </w:t>
      </w:r>
      <w:proofErr w:type="gramStart"/>
      <w:r w:rsidRPr="009A309A">
        <w:rPr>
          <w:rFonts w:ascii="Times New Roman" w:hAnsi="Times New Roman"/>
          <w:sz w:val="24"/>
          <w:szCs w:val="24"/>
          <w:lang w:eastAsia="ru-RU"/>
        </w:rPr>
        <w:t>Завершение  работ</w:t>
      </w:r>
      <w:proofErr w:type="gramEnd"/>
      <w:r w:rsidRPr="009A309A">
        <w:rPr>
          <w:rFonts w:ascii="Times New Roman" w:hAnsi="Times New Roman"/>
          <w:sz w:val="24"/>
          <w:szCs w:val="24"/>
          <w:lang w:eastAsia="ru-RU"/>
        </w:rPr>
        <w:t xml:space="preserve"> - </w:t>
      </w:r>
      <w:r w:rsidR="00726F6C">
        <w:rPr>
          <w:rFonts w:ascii="Times New Roman" w:hAnsi="Times New Roman"/>
          <w:sz w:val="24"/>
          <w:szCs w:val="24"/>
          <w:lang w:eastAsia="ru-RU"/>
        </w:rPr>
        <w:t>90</w:t>
      </w:r>
      <w:r w:rsidRPr="009A309A">
        <w:rPr>
          <w:rFonts w:ascii="Times New Roman" w:hAnsi="Times New Roman"/>
          <w:sz w:val="24"/>
          <w:szCs w:val="24"/>
          <w:lang w:eastAsia="ru-RU"/>
        </w:rPr>
        <w:t xml:space="preserve"> дней </w:t>
      </w:r>
    </w:p>
    <w:p w:rsidR="00C059D2" w:rsidRDefault="00C059D2" w:rsidP="00C059D2">
      <w:pPr>
        <w:spacing w:after="0" w:line="240" w:lineRule="auto"/>
        <w:jc w:val="center"/>
        <w:rPr>
          <w:rFonts w:ascii="Times New Roman" w:hAnsi="Times New Roman"/>
          <w:b/>
          <w:sz w:val="24"/>
          <w:szCs w:val="24"/>
          <w:lang w:eastAsia="ru-RU"/>
        </w:rPr>
      </w:pPr>
    </w:p>
    <w:p w:rsidR="00C059D2" w:rsidRDefault="00C059D2" w:rsidP="00C059D2">
      <w:pPr>
        <w:spacing w:after="0" w:line="240" w:lineRule="auto"/>
        <w:jc w:val="center"/>
        <w:rPr>
          <w:rFonts w:ascii="Times New Roman" w:hAnsi="Times New Roman"/>
          <w:b/>
          <w:sz w:val="24"/>
          <w:szCs w:val="24"/>
          <w:lang w:eastAsia="ru-RU"/>
        </w:rPr>
      </w:pPr>
    </w:p>
    <w:p w:rsidR="00C059D2" w:rsidRPr="009A309A" w:rsidRDefault="00C059D2" w:rsidP="00C059D2">
      <w:pPr>
        <w:spacing w:after="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6. Платежи и расчеты</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9. ЗАКАЗЧИК перечисляет ПОДРЯДЧИКУ аванс в размере до </w:t>
      </w:r>
      <w:r w:rsidR="00726F6C">
        <w:rPr>
          <w:rFonts w:ascii="Times New Roman" w:hAnsi="Times New Roman"/>
          <w:sz w:val="24"/>
          <w:szCs w:val="24"/>
          <w:lang w:eastAsia="ru-RU"/>
        </w:rPr>
        <w:t>30</w:t>
      </w:r>
      <w:r w:rsidRPr="009A309A">
        <w:rPr>
          <w:rFonts w:ascii="Times New Roman" w:hAnsi="Times New Roman"/>
          <w:sz w:val="24"/>
          <w:szCs w:val="24"/>
          <w:lang w:eastAsia="ru-RU"/>
        </w:rPr>
        <w:t xml:space="preserve"> % от общей стоимости работ по договору.</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10. Окончательный расчет между ЗАКАЗЧИКОМ и ПОДРЯДЧИКОМ производится после завершения работ и приемки объекта в установленном порядке:</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lastRenderedPageBreak/>
        <w:t>11.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7. Обстоятельства непреодолимой силы (форс-мажор)</w:t>
      </w:r>
    </w:p>
    <w:p w:rsidR="00C059D2" w:rsidRPr="009A309A" w:rsidRDefault="00C059D2" w:rsidP="00C059D2">
      <w:pPr>
        <w:spacing w:after="120" w:line="240" w:lineRule="auto"/>
        <w:jc w:val="both"/>
        <w:rPr>
          <w:rFonts w:ascii="Times New Roman" w:hAnsi="Times New Roman"/>
          <w:sz w:val="24"/>
          <w:szCs w:val="24"/>
          <w:lang w:eastAsia="ru-RU"/>
        </w:rPr>
      </w:pPr>
      <w:r w:rsidRPr="009A309A">
        <w:rPr>
          <w:rFonts w:ascii="Times New Roman" w:hAnsi="Times New Roman"/>
          <w:sz w:val="24"/>
          <w:szCs w:val="24"/>
          <w:lang w:eastAsia="ru-RU"/>
        </w:rPr>
        <w:t>12.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C059D2" w:rsidRPr="009A309A" w:rsidRDefault="00C059D2" w:rsidP="00C059D2">
      <w:pPr>
        <w:spacing w:after="120" w:line="240" w:lineRule="auto"/>
        <w:jc w:val="both"/>
        <w:rPr>
          <w:rFonts w:ascii="Times New Roman" w:hAnsi="Times New Roman"/>
          <w:sz w:val="24"/>
          <w:szCs w:val="24"/>
          <w:lang w:eastAsia="ru-RU"/>
        </w:rPr>
      </w:pPr>
      <w:r w:rsidRPr="009A309A">
        <w:rPr>
          <w:rFonts w:ascii="Times New Roman" w:hAnsi="Times New Roman"/>
          <w:sz w:val="24"/>
          <w:szCs w:val="24"/>
          <w:lang w:eastAsia="ru-RU"/>
        </w:rPr>
        <w:t>13. Если обстоятельство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C059D2" w:rsidRPr="009A309A" w:rsidRDefault="00C059D2" w:rsidP="00C059D2">
      <w:pPr>
        <w:spacing w:after="120" w:line="240" w:lineRule="auto"/>
        <w:jc w:val="both"/>
        <w:rPr>
          <w:rFonts w:ascii="Times New Roman" w:hAnsi="Times New Roman"/>
          <w:sz w:val="24"/>
          <w:szCs w:val="24"/>
          <w:lang w:eastAsia="ru-RU"/>
        </w:rPr>
      </w:pPr>
      <w:r w:rsidRPr="009A309A">
        <w:rPr>
          <w:rFonts w:ascii="Times New Roman" w:hAnsi="Times New Roman"/>
          <w:sz w:val="24"/>
          <w:szCs w:val="24"/>
          <w:lang w:eastAsia="ru-RU"/>
        </w:rPr>
        <w:t>14. Если стороны не могут договориться в течение двух месяцев, то каждая из сторон вправе потребовать расторжения договора.</w:t>
      </w: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8. Гарантии</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15. ПОДРЯДЧИК гарантирует: Выполнение всех работ в полном объеме и в сроки определенными условиями настоящего договора. Объёмы всех выполненных работ в соответствии с сметной документацией и строительными нормами, правилами и техническими условиями. Качество строительных материалов, оборудования и комплектующих изделий, конструкций систем, используемые в строительстве, их соответствии спецификациям, указанным в проектной документации.</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16. Гарантийный срок эксплуатации объекта и входящих в него инженерных систем, оборудования, материалов и работ устанавливаются не менее 12 месяцев со дня подписания сторонами акта о приемке завершенного ремонта. </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17.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Наличие дефектов и сроки их устранения фиксируется двухсторонним актом ПОДРЯДЧИКА и ЗАКАЗЧИКА.</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Если ПОДРЯДЧИК в течение срока, указанного в акте, не устранит дефекты и недостатки в выполненных работах, включая возможные дефекты оборудования, то ЗАКАЗЧИК вправе удержать с гарантийную сумму, предусмотренную в разделе 7 настоящего договора.</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18.При отказе ПОДРЯДЧИКА от составления или подписания акта обнаруженных дефектов и недоделок их освидетельствование осуществляется органами </w:t>
      </w:r>
      <w:proofErr w:type="spellStart"/>
      <w:r w:rsidRPr="009A309A">
        <w:rPr>
          <w:rFonts w:ascii="Times New Roman" w:hAnsi="Times New Roman"/>
          <w:sz w:val="24"/>
          <w:szCs w:val="24"/>
          <w:lang w:eastAsia="ru-RU"/>
        </w:rPr>
        <w:t>Госархстройнадзора</w:t>
      </w:r>
      <w:proofErr w:type="spellEnd"/>
      <w:r w:rsidRPr="009A309A">
        <w:rPr>
          <w:rFonts w:ascii="Times New Roman" w:hAnsi="Times New Roman"/>
          <w:sz w:val="24"/>
          <w:szCs w:val="24"/>
          <w:lang w:eastAsia="ru-RU"/>
        </w:rPr>
        <w:t>, что не исключает право сторон обратиться в экономическом суд по данному вопросу.</w:t>
      </w: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9. Имущественная ответственность сторон</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19. В случае неисполнения или ненадлежащего исполнения одной из сторон договорных обязательств виновная сторона: Возмещает другой стороне причиненные убытки;</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Несет иную ответственность в порядке, предусмотренным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20. За несоблюдение своих обязательств, указывающих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0,4% от неисполненной части обязательства за каждый день просрочки, при этом общая сумма пени не должна превышать 50% стоимости невыполненных работ и услуг.</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Уплата пени не освобождает ЗАКАЗЧИКА от возмещения убытков, причиненных нарушением условий договора</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21. За нарушение своих обязательств по своевременному вводу объекта ПОДРЯДЧИК уплачивает ЗАКАЗЧИКУ пеню в размере 0,5% от неисполненной части обязательства за каждый день просрочки, при этом общая сума пени не должна превышать 50 % от стоимости невыполненных работ или услуг.</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Уплата пени не освобождает ПОДРЯДЧИКА от возмещения убытков, причиненных просрочкой выполнения работ. </w:t>
      </w:r>
    </w:p>
    <w:p w:rsidR="00C059D2" w:rsidRPr="009A309A" w:rsidRDefault="00C059D2" w:rsidP="00C059D2">
      <w:pPr>
        <w:spacing w:after="0" w:line="240" w:lineRule="auto"/>
        <w:jc w:val="both"/>
        <w:rPr>
          <w:rFonts w:ascii="Times New Roman" w:hAnsi="Times New Roman"/>
          <w:sz w:val="24"/>
          <w:szCs w:val="24"/>
          <w:lang w:eastAsia="ru-RU"/>
        </w:rPr>
      </w:pPr>
      <w:r w:rsidRPr="009A309A">
        <w:rPr>
          <w:rFonts w:ascii="Times New Roman" w:hAnsi="Times New Roman"/>
          <w:sz w:val="24"/>
          <w:szCs w:val="24"/>
          <w:lang w:eastAsia="ru-RU"/>
        </w:rPr>
        <w:t xml:space="preserve">22.Если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w:t>
      </w:r>
      <w:r w:rsidRPr="009A309A">
        <w:rPr>
          <w:rFonts w:ascii="Times New Roman" w:hAnsi="Times New Roman"/>
          <w:sz w:val="24"/>
          <w:szCs w:val="24"/>
          <w:lang w:eastAsia="ru-RU"/>
        </w:rPr>
        <w:lastRenderedPageBreak/>
        <w:t xml:space="preserve">инспекции </w:t>
      </w:r>
      <w:proofErr w:type="spellStart"/>
      <w:r w:rsidRPr="009A309A">
        <w:rPr>
          <w:rFonts w:ascii="Times New Roman" w:hAnsi="Times New Roman"/>
          <w:sz w:val="24"/>
          <w:szCs w:val="24"/>
          <w:lang w:eastAsia="ru-RU"/>
        </w:rPr>
        <w:t>Госархстройнадзора</w:t>
      </w:r>
      <w:proofErr w:type="spellEnd"/>
      <w:r w:rsidRPr="009A309A">
        <w:rPr>
          <w:rFonts w:ascii="Times New Roman" w:hAnsi="Times New Roman"/>
          <w:sz w:val="24"/>
          <w:szCs w:val="24"/>
          <w:lang w:eastAsia="ru-RU"/>
        </w:rPr>
        <w:t xml:space="preserve"> вправе, в установленном порядке, отказаться от приемки и оплаты объекта. </w:t>
      </w: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10. Порядок разрешение споров</w:t>
      </w:r>
    </w:p>
    <w:p w:rsidR="00C059D2" w:rsidRPr="009A309A" w:rsidRDefault="00C059D2" w:rsidP="00C059D2">
      <w:pPr>
        <w:spacing w:after="120" w:line="240" w:lineRule="auto"/>
        <w:jc w:val="both"/>
        <w:rPr>
          <w:rFonts w:ascii="Times New Roman" w:hAnsi="Times New Roman"/>
          <w:sz w:val="24"/>
          <w:szCs w:val="24"/>
          <w:lang w:eastAsia="ru-RU"/>
        </w:rPr>
      </w:pPr>
      <w:r w:rsidRPr="009A309A">
        <w:rPr>
          <w:rFonts w:ascii="Times New Roman" w:hAnsi="Times New Roman"/>
          <w:sz w:val="24"/>
          <w:szCs w:val="24"/>
          <w:lang w:eastAsia="ru-RU"/>
        </w:rPr>
        <w:t>23.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экономическом судом.</w:t>
      </w:r>
    </w:p>
    <w:p w:rsidR="00C059D2" w:rsidRPr="009A309A" w:rsidRDefault="00C059D2" w:rsidP="00C059D2">
      <w:pPr>
        <w:spacing w:after="120" w:line="240" w:lineRule="auto"/>
        <w:jc w:val="center"/>
        <w:rPr>
          <w:rFonts w:ascii="Times New Roman" w:hAnsi="Times New Roman"/>
          <w:b/>
          <w:sz w:val="24"/>
          <w:szCs w:val="24"/>
          <w:lang w:eastAsia="ru-RU"/>
        </w:rPr>
      </w:pPr>
      <w:r w:rsidRPr="009A309A">
        <w:rPr>
          <w:rFonts w:ascii="Times New Roman" w:hAnsi="Times New Roman"/>
          <w:b/>
          <w:sz w:val="24"/>
          <w:szCs w:val="24"/>
          <w:lang w:eastAsia="ru-RU"/>
        </w:rPr>
        <w:t>11. Банковские реквизиты и юридические адреса сторон:</w:t>
      </w:r>
    </w:p>
    <w:p w:rsidR="00C059D2" w:rsidRPr="009A309A" w:rsidRDefault="00C059D2" w:rsidP="00C059D2">
      <w:pPr>
        <w:spacing w:after="120" w:line="240" w:lineRule="auto"/>
        <w:rPr>
          <w:rFonts w:ascii="Times New Roman" w:hAnsi="Times New Roman"/>
          <w:b/>
          <w:sz w:val="24"/>
          <w:szCs w:val="24"/>
          <w:lang w:eastAsia="ru-RU"/>
        </w:rPr>
      </w:pPr>
      <w:r w:rsidRPr="009A309A">
        <w:rPr>
          <w:rFonts w:ascii="Times New Roman" w:hAnsi="Times New Roman"/>
          <w:b/>
          <w:sz w:val="24"/>
          <w:szCs w:val="24"/>
          <w:lang w:eastAsia="ru-RU"/>
        </w:rPr>
        <w:t xml:space="preserve">                                ЗАКАЗЧИК                                                                         ПОДРЯДЧИК</w:t>
      </w:r>
    </w:p>
    <w:p w:rsidR="00C059D2" w:rsidRPr="009A309A" w:rsidRDefault="00C059D2" w:rsidP="00C059D2">
      <w:pPr>
        <w:tabs>
          <w:tab w:val="left" w:pos="6236"/>
        </w:tabs>
        <w:spacing w:after="120" w:line="240" w:lineRule="auto"/>
        <w:rPr>
          <w:rFonts w:ascii="Times New Roman" w:hAnsi="Times New Roman"/>
          <w:sz w:val="24"/>
          <w:szCs w:val="24"/>
          <w:lang w:eastAsia="ru-RU"/>
        </w:rPr>
      </w:pPr>
      <w:r w:rsidRPr="009A309A">
        <w:rPr>
          <w:rFonts w:ascii="Times New Roman" w:hAnsi="Times New Roman"/>
          <w:sz w:val="24"/>
          <w:szCs w:val="24"/>
          <w:lang w:eastAsia="ru-RU"/>
        </w:rPr>
        <w:t xml:space="preserve">                       </w:t>
      </w:r>
    </w:p>
    <w:p w:rsidR="00C059D2" w:rsidRPr="006A075B" w:rsidRDefault="00C059D2" w:rsidP="00C059D2">
      <w:pPr>
        <w:tabs>
          <w:tab w:val="left" w:pos="6236"/>
        </w:tabs>
        <w:spacing w:after="120" w:line="240" w:lineRule="auto"/>
        <w:rPr>
          <w:rFonts w:ascii="Times New Roman" w:hAnsi="Times New Roman"/>
          <w:sz w:val="32"/>
          <w:szCs w:val="32"/>
          <w:lang w:eastAsia="ru-RU"/>
        </w:rPr>
      </w:pPr>
      <w:bookmarkStart w:id="0" w:name="_GoBack"/>
      <w:bookmarkEnd w:id="0"/>
      <w:r w:rsidRPr="006A075B">
        <w:rPr>
          <w:rFonts w:ascii="Times New Roman" w:hAnsi="Times New Roman"/>
          <w:sz w:val="32"/>
          <w:szCs w:val="32"/>
          <w:lang w:eastAsia="ru-RU"/>
        </w:rPr>
        <w:tab/>
        <w:t xml:space="preserve">   </w:t>
      </w:r>
    </w:p>
    <w:tbl>
      <w:tblPr>
        <w:tblW w:w="9180" w:type="dxa"/>
        <w:tblInd w:w="648" w:type="dxa"/>
        <w:tblLook w:val="01E0" w:firstRow="1" w:lastRow="1" w:firstColumn="1" w:lastColumn="1" w:noHBand="0" w:noVBand="0"/>
      </w:tblPr>
      <w:tblGrid>
        <w:gridCol w:w="4500"/>
        <w:gridCol w:w="4680"/>
      </w:tblGrid>
      <w:tr w:rsidR="00C059D2" w:rsidRPr="009A309A" w:rsidTr="001657F6">
        <w:tc>
          <w:tcPr>
            <w:tcW w:w="4500" w:type="dxa"/>
            <w:shd w:val="clear" w:color="auto" w:fill="auto"/>
          </w:tcPr>
          <w:p w:rsidR="00C059D2" w:rsidRPr="009A309A" w:rsidRDefault="00C059D2" w:rsidP="001657F6">
            <w:pPr>
              <w:spacing w:after="120" w:line="240" w:lineRule="auto"/>
              <w:jc w:val="center"/>
              <w:rPr>
                <w:rFonts w:ascii="Times New Roman" w:hAnsi="Times New Roman"/>
                <w:sz w:val="24"/>
                <w:szCs w:val="24"/>
                <w:lang w:eastAsia="ru-RU"/>
              </w:rPr>
            </w:pPr>
          </w:p>
        </w:tc>
        <w:tc>
          <w:tcPr>
            <w:tcW w:w="468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r>
      <w:tr w:rsidR="00C059D2" w:rsidRPr="009A309A" w:rsidTr="001657F6">
        <w:tc>
          <w:tcPr>
            <w:tcW w:w="450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c>
          <w:tcPr>
            <w:tcW w:w="468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r>
      <w:tr w:rsidR="00C059D2" w:rsidRPr="009A309A" w:rsidTr="001657F6">
        <w:tc>
          <w:tcPr>
            <w:tcW w:w="450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c>
          <w:tcPr>
            <w:tcW w:w="468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r>
      <w:tr w:rsidR="00C059D2" w:rsidRPr="009A309A" w:rsidTr="001657F6">
        <w:tc>
          <w:tcPr>
            <w:tcW w:w="450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c>
          <w:tcPr>
            <w:tcW w:w="468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r>
      <w:tr w:rsidR="00C059D2" w:rsidRPr="009A309A" w:rsidTr="001657F6">
        <w:tc>
          <w:tcPr>
            <w:tcW w:w="450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c>
          <w:tcPr>
            <w:tcW w:w="468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r>
      <w:tr w:rsidR="00C059D2" w:rsidRPr="009A309A" w:rsidTr="001657F6">
        <w:tc>
          <w:tcPr>
            <w:tcW w:w="450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c>
          <w:tcPr>
            <w:tcW w:w="4680" w:type="dxa"/>
            <w:shd w:val="clear" w:color="auto" w:fill="auto"/>
          </w:tcPr>
          <w:p w:rsidR="00C059D2" w:rsidRPr="009A309A" w:rsidRDefault="00C059D2" w:rsidP="001657F6">
            <w:pPr>
              <w:spacing w:after="120" w:line="240" w:lineRule="auto"/>
              <w:rPr>
                <w:rFonts w:ascii="Times New Roman" w:hAnsi="Times New Roman"/>
                <w:sz w:val="24"/>
                <w:szCs w:val="24"/>
                <w:lang w:eastAsia="ru-RU"/>
              </w:rPr>
            </w:pPr>
          </w:p>
        </w:tc>
      </w:tr>
    </w:tbl>
    <w:p w:rsidR="00C059D2" w:rsidRPr="009A309A" w:rsidRDefault="00C059D2" w:rsidP="00C059D2">
      <w:pPr>
        <w:spacing w:after="120" w:line="240" w:lineRule="auto"/>
        <w:rPr>
          <w:rFonts w:ascii="Times New Roman" w:hAnsi="Times New Roman"/>
          <w:sz w:val="24"/>
          <w:szCs w:val="24"/>
          <w:lang w:eastAsia="ru-RU"/>
        </w:rPr>
      </w:pPr>
    </w:p>
    <w:p w:rsidR="00C059D2" w:rsidRPr="009A309A" w:rsidRDefault="00C059D2" w:rsidP="00C059D2">
      <w:pPr>
        <w:spacing w:after="120" w:line="240" w:lineRule="auto"/>
        <w:rPr>
          <w:rFonts w:ascii="Times New Roman" w:hAnsi="Times New Roman"/>
          <w:sz w:val="24"/>
          <w:szCs w:val="24"/>
          <w:lang w:eastAsia="ru-RU"/>
        </w:rPr>
      </w:pPr>
      <w:r w:rsidRPr="009A309A">
        <w:rPr>
          <w:rFonts w:ascii="Times New Roman" w:hAnsi="Times New Roman"/>
          <w:sz w:val="24"/>
          <w:szCs w:val="24"/>
          <w:lang w:eastAsia="ru-RU"/>
        </w:rPr>
        <w:t xml:space="preserve">              __________________    </w:t>
      </w:r>
      <w:r w:rsidRPr="009A309A">
        <w:rPr>
          <w:rFonts w:ascii="Times New Roman" w:hAnsi="Times New Roman"/>
          <w:sz w:val="24"/>
          <w:szCs w:val="24"/>
          <w:lang w:eastAsia="ru-RU"/>
        </w:rPr>
        <w:tab/>
      </w:r>
      <w:r w:rsidRPr="009A309A">
        <w:rPr>
          <w:rFonts w:ascii="Times New Roman" w:hAnsi="Times New Roman"/>
          <w:sz w:val="24"/>
          <w:szCs w:val="24"/>
          <w:lang w:eastAsia="ru-RU"/>
        </w:rPr>
        <w:tab/>
      </w:r>
      <w:r w:rsidRPr="009A309A">
        <w:rPr>
          <w:rFonts w:ascii="Times New Roman" w:hAnsi="Times New Roman"/>
          <w:sz w:val="24"/>
          <w:szCs w:val="24"/>
          <w:lang w:eastAsia="ru-RU"/>
        </w:rPr>
        <w:tab/>
      </w:r>
      <w:r w:rsidRPr="009A309A">
        <w:rPr>
          <w:rFonts w:ascii="Times New Roman" w:hAnsi="Times New Roman"/>
          <w:sz w:val="24"/>
          <w:szCs w:val="24"/>
          <w:lang w:eastAsia="ru-RU"/>
        </w:rPr>
        <w:tab/>
      </w:r>
      <w:r w:rsidRPr="009A309A">
        <w:rPr>
          <w:rFonts w:ascii="Times New Roman" w:hAnsi="Times New Roman"/>
          <w:sz w:val="24"/>
          <w:szCs w:val="24"/>
          <w:lang w:eastAsia="ru-RU"/>
        </w:rPr>
        <w:tab/>
        <w:t xml:space="preserve">____________________  </w:t>
      </w:r>
    </w:p>
    <w:p w:rsidR="00C059D2" w:rsidRPr="009A309A" w:rsidRDefault="00C059D2" w:rsidP="00C059D2">
      <w:pPr>
        <w:tabs>
          <w:tab w:val="left" w:pos="6225"/>
        </w:tabs>
        <w:spacing w:after="120" w:line="240" w:lineRule="auto"/>
        <w:rPr>
          <w:rFonts w:ascii="Times New Roman" w:hAnsi="Times New Roman"/>
          <w:sz w:val="24"/>
          <w:szCs w:val="24"/>
          <w:lang w:eastAsia="ru-RU"/>
        </w:rPr>
      </w:pPr>
    </w:p>
    <w:p w:rsidR="00C059D2" w:rsidRPr="009A309A" w:rsidRDefault="00C059D2" w:rsidP="00C059D2">
      <w:pPr>
        <w:tabs>
          <w:tab w:val="left" w:pos="6225"/>
        </w:tabs>
        <w:spacing w:after="120" w:line="240" w:lineRule="auto"/>
        <w:rPr>
          <w:rFonts w:ascii="Times New Roman" w:hAnsi="Times New Roman"/>
          <w:sz w:val="24"/>
          <w:szCs w:val="24"/>
          <w:lang w:eastAsia="ru-RU"/>
        </w:rPr>
      </w:pPr>
      <w:r w:rsidRPr="009A309A">
        <w:rPr>
          <w:rFonts w:ascii="Times New Roman" w:hAnsi="Times New Roman"/>
          <w:sz w:val="24"/>
          <w:szCs w:val="24"/>
          <w:lang w:eastAsia="ru-RU"/>
        </w:rPr>
        <w:t xml:space="preserve">        М П                                                                                                         М П </w:t>
      </w:r>
      <w:r w:rsidRPr="009A309A">
        <w:rPr>
          <w:rFonts w:ascii="Times New Roman" w:hAnsi="Times New Roman"/>
          <w:sz w:val="24"/>
          <w:szCs w:val="24"/>
          <w:lang w:eastAsia="ru-RU"/>
        </w:rPr>
        <w:tab/>
      </w:r>
    </w:p>
    <w:p w:rsidR="00C059D2" w:rsidRPr="009A309A" w:rsidRDefault="00C059D2" w:rsidP="00C059D2">
      <w:pPr>
        <w:widowControl w:val="0"/>
        <w:shd w:val="clear" w:color="auto" w:fill="FFFFFF"/>
        <w:autoSpaceDE w:val="0"/>
        <w:autoSpaceDN w:val="0"/>
        <w:adjustRightInd w:val="0"/>
        <w:spacing w:after="0" w:line="240" w:lineRule="auto"/>
        <w:ind w:right="348"/>
        <w:jc w:val="center"/>
        <w:rPr>
          <w:rFonts w:ascii="Times New Roman" w:eastAsia="Times New Roman" w:hAnsi="Times New Roman"/>
          <w:sz w:val="20"/>
          <w:szCs w:val="20"/>
          <w:lang w:eastAsia="ru-RU"/>
        </w:rPr>
      </w:pPr>
    </w:p>
    <w:p w:rsidR="00BD1D09" w:rsidRDefault="00BD1D09"/>
    <w:sectPr w:rsidR="00BD1D09" w:rsidSect="003E085D">
      <w:pgSz w:w="11906" w:h="16838"/>
      <w:pgMar w:top="360"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D2"/>
    <w:rsid w:val="00726F6C"/>
    <w:rsid w:val="00BD1D09"/>
    <w:rsid w:val="00C05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CC59"/>
  <w15:docId w15:val="{7F425511-8A8E-47D4-B27A-1C840E6E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locked/>
    <w:rsid w:val="00C059D2"/>
    <w:rPr>
      <w:shd w:val="clear" w:color="auto" w:fill="FFFFFF"/>
    </w:rPr>
  </w:style>
  <w:style w:type="paragraph" w:customStyle="1" w:styleId="21">
    <w:name w:val="Основной текст (2)1"/>
    <w:basedOn w:val="a"/>
    <w:link w:val="2"/>
    <w:uiPriority w:val="99"/>
    <w:rsid w:val="00C059D2"/>
    <w:pPr>
      <w:widowControl w:val="0"/>
      <w:shd w:val="clear" w:color="auto" w:fill="FFFFFF"/>
      <w:spacing w:after="360" w:line="240" w:lineRule="atLeast"/>
      <w:ind w:hanging="340"/>
      <w:jc w:val="center"/>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cp:lastModifiedBy>
  <cp:revision>2</cp:revision>
  <dcterms:created xsi:type="dcterms:W3CDTF">2021-09-20T11:56:00Z</dcterms:created>
  <dcterms:modified xsi:type="dcterms:W3CDTF">2021-09-20T11:56:00Z</dcterms:modified>
</cp:coreProperties>
</file>