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5979" w14:textId="77777777" w:rsidR="009E5E18" w:rsidRPr="005B172A" w:rsidRDefault="009E5E18" w:rsidP="009E5E18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b/>
          <w:sz w:val="24"/>
          <w:szCs w:val="24"/>
          <w:lang w:val="uz-Cyrl-UZ" w:eastAsia="ru-RU"/>
        </w:rPr>
        <w:t>ШАРТНОМА НАМУНАСИ</w:t>
      </w:r>
    </w:p>
    <w:p w14:paraId="32A13EAA" w14:textId="77777777" w:rsidR="009E5E18" w:rsidRPr="005B172A" w:rsidRDefault="009E5E18" w:rsidP="009E5E1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14:paraId="6EEDD313" w14:textId="77777777" w:rsidR="009E5E18" w:rsidRPr="005B172A" w:rsidRDefault="009E5E18" w:rsidP="009E5E18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Объектларни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фойдаланишга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тайёр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қуришга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доир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Намунавий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пудрат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шартномаси</w:t>
      </w:r>
      <w:proofErr w:type="spellEnd"/>
    </w:p>
    <w:tbl>
      <w:tblPr>
        <w:tblW w:w="83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4"/>
        <w:gridCol w:w="202"/>
        <w:gridCol w:w="8185"/>
      </w:tblGrid>
      <w:tr w:rsidR="009E5E18" w:rsidRPr="005B172A" w14:paraId="684CBC65" w14:textId="77777777" w:rsidTr="00882B9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4C77F82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4735E97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900A1D2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20__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_</w:t>
            </w:r>
            <w:proofErr w:type="gram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 » __________</w:t>
            </w:r>
          </w:p>
        </w:tc>
      </w:tr>
      <w:tr w:rsidR="009E5E18" w:rsidRPr="005B172A" w14:paraId="6CEA221E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2E456FD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Кейинги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ўринларда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юритиладиган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буюртмачининг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41ED5D8A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D2BBC8D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номидан_______________________________________________________________________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кўрувчи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(устав, низом,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ишончнома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560F1F81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A2A5BC3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томондан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раҳбарнинг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фамилияси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отасининг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1C6B75AA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D3885A3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кейинги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ўринларда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юритиладиган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юридик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шахснинг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15C36A0E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18DBE1E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номидан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(устав, низом,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ишончнома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14B6EDC3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4C856CF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асосида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кўрувчи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раҳбарнинг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фамилияси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отасининг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иккинчи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томондан_____________________________________________________________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56F1BAB7" w14:textId="77777777" w:rsidTr="00882B9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8CC0BE9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фойдаланишга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тайёр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қуришга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доир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шартномасини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туздилар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294ECDA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Тарифлар</w:t>
      </w:r>
      <w:proofErr w:type="spellEnd"/>
    </w:p>
    <w:p w14:paraId="764F300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тарифлар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қўлланилади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56F2454C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ижро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натурада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шахслар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киритилган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чизмаларга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ёзувлар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чизмалар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туркуми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сертификатлар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паспортлар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ўрнатилган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қўлланилган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деталларнинг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тасдиқловчи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тасдиқланганлиги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айрим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масъулиятли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оралиқ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монтаж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якка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синови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нормалари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7595CD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(контракт)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участкаси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чегараси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ажратиб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қўйилади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режага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қўйилади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A4B4A9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вақтинчалик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иншоотлар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ўрнатиладиган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типдаги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вақтинчалик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бинолар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иншоотлар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57A772D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аниқлигини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кейинчалик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63AC2C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нархини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босқичи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турлари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босқичларга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тақсимлаш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74F266E" w14:textId="77777777" w:rsidR="009E5E18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14:paraId="32823782" w14:textId="77777777" w:rsidR="009E5E18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14:paraId="48983F48" w14:textId="77777777" w:rsidR="009E5E18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14:paraId="13C08AD2" w14:textId="77777777" w:rsidR="009E5E18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14:paraId="5C9A4FB6" w14:textId="77777777" w:rsidR="009E5E18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</w:p>
    <w:p w14:paraId="26F0E684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мавзуси</w:t>
      </w:r>
      <w:proofErr w:type="spellEnd"/>
    </w:p>
    <w:tbl>
      <w:tblPr>
        <w:tblW w:w="85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5"/>
      </w:tblGrid>
      <w:tr w:rsidR="009E5E18" w:rsidRPr="005B172A" w14:paraId="503E05B3" w14:textId="77777777" w:rsidTr="00882B9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2C810ED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шартларига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________________________________________________________________________________</w:t>
            </w: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лойиҳанинг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62ECC607" w14:textId="77777777" w:rsidTr="00882B9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66D874F" w14:textId="77777777" w:rsidR="009E5E18" w:rsidRPr="005B172A" w:rsidRDefault="009E5E18" w:rsidP="00882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лойиҳада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кўзда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тутилган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фойдаланишга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тайёр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қуриш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қурилиш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ишларини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Пудратчига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қурилиш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ишларини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зарур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шароитлар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яратиш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уларни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қилиш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тўловни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амалга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ошириш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мажбуриятини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олади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075DCC6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III.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қиймати</w:t>
      </w:r>
      <w:proofErr w:type="spellEnd"/>
    </w:p>
    <w:tbl>
      <w:tblPr>
        <w:tblW w:w="938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2"/>
        <w:gridCol w:w="3554"/>
      </w:tblGrid>
      <w:tr w:rsidR="009E5E18" w:rsidRPr="005B172A" w14:paraId="7E10FB92" w14:textId="77777777" w:rsidTr="00882B93">
        <w:trPr>
          <w:trHeight w:val="33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4A376CA" w14:textId="77777777" w:rsidR="009E5E18" w:rsidRPr="005B172A" w:rsidRDefault="009E5E18" w:rsidP="00882B9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Мазкур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шартнома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бажарилган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танлов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савдоси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(тендер)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натижасида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аниқланган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тендер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комиссиясининг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қарори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(20__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йил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«___»_______даги ___-сон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баённома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тасдиқланган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ишлар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барча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солиқлар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йиғимлар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ажратмаларни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ичига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жорий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нархларда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</w:tc>
      </w:tr>
      <w:tr w:rsidR="009E5E18" w:rsidRPr="005B172A" w14:paraId="6C985A08" w14:textId="77777777" w:rsidTr="00882B93">
        <w:trPr>
          <w:trHeight w:val="33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C900839" w14:textId="77777777" w:rsidR="009E5E18" w:rsidRPr="005B172A" w:rsidRDefault="009E5E18" w:rsidP="00882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 ни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этади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E18" w:rsidRPr="005B172A" w14:paraId="6BE5570F" w14:textId="77777777" w:rsidTr="00882B93">
        <w:trPr>
          <w:gridAfter w:val="1"/>
          <w:wAfter w:w="1136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BC2D154" w14:textId="77777777" w:rsidR="009E5E18" w:rsidRPr="005B172A" w:rsidRDefault="009E5E18" w:rsidP="0088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(сумма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ёзув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билан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14:paraId="5849C89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узил-кесил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кейинчалик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қайта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эмас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1A149A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кўпайтиришга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енгиб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куч (форс-мажор)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сабаб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393951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ҳажми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ўзгартирилганда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FCB4BC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йилдан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ортиққа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ўзгартирилганда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526E28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йилдан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ортиқ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йилга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йилларга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шартномавий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нархларни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FCCB7E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санаб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битим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расмийлаштирилади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BB7B325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IV.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мажбуриятлари</w:t>
      </w:r>
      <w:proofErr w:type="spellEnd"/>
    </w:p>
    <w:p w14:paraId="41605BF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II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бўлимида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8B4340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____—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ҳажмда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жалб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43C8D3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ўйича барча тегишли солиқлар, йиғимлар ва ажратмаларни тўлаш;</w:t>
      </w:r>
    </w:p>
    <w:p w14:paraId="42034CC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_____—иловага мувофиқ қурилиш майдонига зарур қурилиш материаллари, буюмлар, конструкциялар, асбоб-ускуналар ва бутловчи буюмлар, қурилиш техникасини етказиб бериш, уларни қабул қилиш, тушириш, омборга жойлаш ва сақлаш;</w:t>
      </w:r>
    </w:p>
    <w:p w14:paraId="13A6470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қурилиш майдони ҳудудида вақтинчалик иншоотлар қуриш;</w:t>
      </w:r>
    </w:p>
    <w:p w14:paraId="6D001A0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Буюртмачини пудрат шартномалари тузилиши давомида субпудратчилар билан шартномалар тузилиши, шартнома мавзуси, субпудратчининг номи ва манзили тўғрисида хабардор қилиш;</w:t>
      </w:r>
    </w:p>
    <w:p w14:paraId="37F4799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қурилиш майдонида техника хавфсизлиги, ишларни бажариш вақтида атроф муҳитни, ўтқазилган дарахтларни ва ер участкасини муҳофаза қилиш бўйича зарур тадбирлар бажарилишини таъминлаш, шунингдек ёритиш чироқлари ўрнатиш;</w:t>
      </w:r>
    </w:p>
    <w:p w14:paraId="38EA062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қурилиш таваккалчиликларини суғурта қилиш;</w:t>
      </w:r>
    </w:p>
    <w:p w14:paraId="04FACDA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асбоб-ускуналари, транспорт воситалари, анжомлар, приборлар, инвентарлар, қурилиш материаллари, буюмлар, конструкциялар ҳамда вақтинчалик бинолардан бўшатиш;</w:t>
      </w:r>
    </w:p>
    <w:p w14:paraId="24B03E1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lastRenderedPageBreak/>
        <w:t>қурилиш майдони қўриқланишини таъминлаш;</w:t>
      </w:r>
    </w:p>
    <w:p w14:paraId="184A913C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мазкур шартномада назарда тутилган барча мажбуриятларни тўлиқ ҳажмда бажариш мажбуриятини ўз зиммасига олади.</w:t>
      </w:r>
    </w:p>
    <w:p w14:paraId="7FB269F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8.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беради.</w:t>
      </w:r>
    </w:p>
    <w:p w14:paraId="7A97E0EC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V.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мажбуриятлари</w:t>
      </w:r>
      <w:proofErr w:type="spellEnd"/>
    </w:p>
    <w:p w14:paraId="2F9CC6E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C88626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__-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яроқли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тугаллангунгача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734611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устидан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доимий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архитектура-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назоратини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қайд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функцияларга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риоя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F7C738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мурожаатларини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қарор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68341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аванс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жорий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CA4405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ижро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рўйхатини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444EA2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ҳажмда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2D6A105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VI.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муддатлари</w:t>
      </w:r>
      <w:proofErr w:type="spellEnd"/>
    </w:p>
    <w:p w14:paraId="6EEC1D0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32251B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валюта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сўмда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ўзаро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ҳисоб-китоб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6A5879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кейинчалик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ЭАВга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конвертация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валютада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сўмда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ўзаро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ҳисоб-китоб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рўйхатдан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ўтказилгандан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74E6E1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аванс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тўлови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тушган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киришади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6E131F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савдолари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натижаси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давом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эътиборан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8473FAC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062B35A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VII.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Тўловлар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ҳисоб-китоблар</w:t>
      </w:r>
      <w:proofErr w:type="spellEnd"/>
    </w:p>
    <w:p w14:paraId="458765ED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жорий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аванс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сўмни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65E13F4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аванс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жорий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( -</w:t>
      </w:r>
      <w:proofErr w:type="spellStart"/>
      <w:proofErr w:type="gram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12307633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Жорий молиялаштириш амалга оширилган ишларнинг бажарилиши бўйича ва бажарилган ишларнинг сифатини текширгандан сўнг чиқарилган “бажарилган ишларнинг ҳисоб-китоблари (сарфланган харажатлар</w:t>
      </w:r>
      <w:proofErr w:type="gramStart"/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)”га</w:t>
      </w:r>
      <w:proofErr w:type="gramEnd"/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мувофиқ амалга оширилади. Ажратилган аванснинг мутоносиб равишда туширилишини ва кафолат суммасининг 5 фоизини ҳисобга олган ҳолда объектнинг умумий шартномавий қийматининг 95 фоизигача.</w:t>
      </w:r>
    </w:p>
    <w:p w14:paraId="68332E0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17. Қолганлари учун Буюртмачи ва пудратчи ўртасида якуний келишув объектнинг шартномавий жорий қийматининг 5 фоиз ушуб шартномада белгиланган кафолат муддати тугагандан сўнг, лекин молиявий йил охиридан кечиктирмай амалга оширилади.</w:t>
      </w:r>
    </w:p>
    <w:p w14:paraId="0E7AE3B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Latn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Latn-UZ" w:eastAsia="ru-RU"/>
        </w:rPr>
        <w:t>18. Пудратчи объект фойдаланишга топширилгунга қадар мазкур шартнома бўйича объектга мулк ҳуқуқини ўзида сақлаб қолади. Объект Буюртмачига топширилгунга қадар объектнинг тасодифий йўқ қилиниши ва шикастланиши хавфи Пудратчининг зиммасида бўлади.</w:t>
      </w:r>
    </w:p>
    <w:p w14:paraId="1B7FD840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Latn-UZ"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val="uz-Latn-UZ" w:eastAsia="ru-RU"/>
        </w:rPr>
        <w:t>VIII. Ишларни бажариш</w:t>
      </w:r>
    </w:p>
    <w:p w14:paraId="1297DC2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Latn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Latn-UZ" w:eastAsia="ru-RU"/>
        </w:rPr>
        <w:lastRenderedPageBreak/>
        <w:t>19. Буюртмачи қурилиш майдонида ўз вакилини – техник аудиторни тайинлайди, у Буюртмачининг номидан бажарилаётган ишлар сифати устидан техник назоратни амалга оширади, шунингдек Пудратчи томонидан фойдаланиладиган материаллар ва асбоб-ускуналарнинг шартнома шартларига ва иш ҳужжатларига мувофиқлигини текширади.</w:t>
      </w:r>
    </w:p>
    <w:p w14:paraId="66E49F6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z-Latn-UZ"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val="uz-Latn-UZ" w:eastAsia="ru-RU"/>
        </w:rPr>
        <w:t>20. Техник аудитор ишлар бажарилишининг ва шартноманинг бутун даври мобайнида ишларнинг барча турлари билан тўсиқсиз танишиш ҳуқуқига эгадир.</w:t>
      </w:r>
    </w:p>
    <w:p w14:paraId="6BC3FBD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аудиторни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таъминлайди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Техник аудитор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чоғида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пайдо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бўлувчи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масалаларни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йиғилишларда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мунтазам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қатнашади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8A18DF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лойиҳасига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4" w:history="1">
        <w:r w:rsidRPr="005B172A">
          <w:rPr>
            <w:rFonts w:ascii="Times New Roman" w:hAnsi="Times New Roman"/>
            <w:color w:val="008080"/>
            <w:sz w:val="24"/>
            <w:szCs w:val="24"/>
            <w:lang w:eastAsia="ru-RU"/>
          </w:rPr>
          <w:t xml:space="preserve">VI </w:t>
        </w:r>
        <w:proofErr w:type="spellStart"/>
        <w:r w:rsidRPr="005B172A">
          <w:rPr>
            <w:rFonts w:ascii="Times New Roman" w:hAnsi="Times New Roman"/>
            <w:color w:val="008080"/>
            <w:sz w:val="24"/>
            <w:szCs w:val="24"/>
            <w:lang w:eastAsia="ru-RU"/>
          </w:rPr>
          <w:t>бўлимида</w:t>
        </w:r>
        <w:proofErr w:type="spellEnd"/>
        <w:r w:rsidRPr="005B172A">
          <w:rPr>
            <w:rFonts w:ascii="Times New Roman" w:hAnsi="Times New Roman"/>
            <w:color w:val="008080"/>
            <w:sz w:val="24"/>
            <w:szCs w:val="24"/>
            <w:lang w:eastAsia="ru-RU"/>
          </w:rPr>
          <w:t> </w:t>
        </w:r>
        <w:proofErr w:type="spellStart"/>
      </w:hyperlink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мувофиқлаштирилган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режаси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мустақил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8D050B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архитектура-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назорати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риоя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AB54C5A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вазифаси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83F0AAA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ортиқча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тупроқ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ахлатини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етишмаётган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тупроқни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қазиб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ажратиш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588D9E0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привязка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геодезия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нуқталари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координатлари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баландлик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E1B301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геодезия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нуқталарига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линиялар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нисбатан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тарзда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баландлик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ўлчамлари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ўқларининг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жойлашганлиги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4114B7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жараёнида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геодезия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хатолар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аниқланса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тузатишларни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киритади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88A49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геодезия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ўрнатиладиган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координатлар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баландликлар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геодезия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белгиларининг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жойлашиши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схемалари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сақлайди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31E1914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коммуникацияларни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вақтинча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нуқталарида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янгидан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коммуникацияларни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4B4FC43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қўлланиладиган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бутловчи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буюмлар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тизимлар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лойиҳа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спецификацияларга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регламентларга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стандартларга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тасдиқловчи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сертификатларга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паспортларга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E3E9B0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масъулиятли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тайёр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қараб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бошланишидан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олдин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Давархитектқурилишназорат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инспекциясини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хабардор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2CE9C7C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тайёрлиги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конструкцияларни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оралиқ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Давархитектқурилишназорат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инспекцияси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текшируви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B56105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киритилган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рухсатномасидан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кейингина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киришади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FBCFA5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34.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тасдиғисиз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хабардор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хабардор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талаби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кўрсатмасига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беркитиладиган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исталган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очишга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сўнгра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тиклашга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мажбурдир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FDDED9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манфаатларига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жиддий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таъсир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четга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розилигисиз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таъсир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этмаганлигини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исботласа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ҳисобланмайди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F0CD5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35.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субпудратчилари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бажарилганлигини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кўпайтирмасдан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қайта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мажбурдир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33-бандининг </w:t>
      </w:r>
      <w:proofErr w:type="spellStart"/>
      <w:r w:rsidRPr="005B172A">
        <w:rPr>
          <w:sz w:val="24"/>
          <w:szCs w:val="24"/>
        </w:rPr>
        <w:fldChar w:fldCharType="begin"/>
      </w:r>
      <w:r w:rsidRPr="005B172A">
        <w:rPr>
          <w:sz w:val="24"/>
          <w:szCs w:val="24"/>
        </w:rPr>
        <w:instrText xml:space="preserve"> HYPERLINK "javascript:scrollText(978289)" </w:instrText>
      </w:r>
      <w:r w:rsidRPr="005B172A">
        <w:rPr>
          <w:sz w:val="24"/>
          <w:szCs w:val="24"/>
        </w:rPr>
        <w:fldChar w:fldCharType="separate"/>
      </w:r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>хатбошида</w:t>
      </w:r>
      <w:proofErr w:type="spellEnd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> </w:t>
      </w:r>
      <w:proofErr w:type="spellStart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fldChar w:fldCharType="end"/>
      </w: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40161E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тузата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олмаса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тузатишнинг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оқибатида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415038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полосасини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йўл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участкалари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йўлакларни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супуриб-сидиради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сақлайди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ахлатини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жойга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чиқариб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5361A0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тугаллангунгача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юритади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бутун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бориши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ўзаро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муносабатларида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аҳамиятга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тамом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санаси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хизматлар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санаси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синовлар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берилмаслиги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боғлиқ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тўхтаб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қолишлар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техникасининг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узил-кесил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таъсир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акс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эттирилади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79073C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бориши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қайдларидан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қониқмаса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фикрини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баён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BB663D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дафтарда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камчиликларни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чора-тадбирларини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F214B7C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IX.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қўриқлаш</w:t>
      </w:r>
      <w:proofErr w:type="spellEnd"/>
    </w:p>
    <w:p w14:paraId="5B598AD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бошланишидан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тугаллангунгача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олингунга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қадар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четлари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тўсилган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ҳудудида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техникаси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мулк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қўриқланишини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таъминлайди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52F6BAA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39.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Тикланган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бинолар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иморатлар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мулк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олинганидан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сақланиши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7421646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Енгиб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бўлмайдиган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куч (форс-мажор)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ҳолатлари</w:t>
      </w:r>
      <w:proofErr w:type="spellEnd"/>
    </w:p>
    <w:p w14:paraId="1D5D5A24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бажарилмаслиги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табиат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ҳодисалари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енгиб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натижасида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бевосита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таъсир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бундай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бажармаслик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жавобгарликдан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этиладилар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157E15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енгиб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юзага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келтирган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мутаносиб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узайтирилади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36C53F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енгиб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куч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оқибатлари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ойдан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кўп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чўзилса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давом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консервация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чоралар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кўрилишини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муҳокама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қиладилар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DDD2B2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42.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ичида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олмасалар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ҳақлидир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8CC5E04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олиш</w:t>
      </w:r>
      <w:proofErr w:type="spellEnd"/>
    </w:p>
    <w:p w14:paraId="733F8ECD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санасида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тарафидан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856360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тайёрлиги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билдиришномаси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635F3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бошланишидан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олдин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V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бўлимига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таркибда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нусхада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ижро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тўплами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мос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керак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548B56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мулкига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айланади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164AE0C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Кафолатлар</w:t>
      </w:r>
      <w:proofErr w:type="spellEnd"/>
    </w:p>
    <w:p w14:paraId="6E75FCF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F7589A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ҳажмда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B2FDA3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лойиҳа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меъёрлари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5D32914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қўлланиладиган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бутловчи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буюмлар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конструкция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тизимлар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лойиҳа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сертификацияларга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регламентлар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стандартларга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мувофиқлигини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0DBA77A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камчиликлар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5B4CA8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муҳандислик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тизимлари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ускуналарнинг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мувофиқлигини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3CAD41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48.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муҳандислик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тизимлари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асбоб-ускуналар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материаллардан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 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 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7376CE4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49.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аниқланиб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этилгунга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қадар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фойдаланишни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давом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имконини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аниқланса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узайтирилади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4594E4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қайд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11DDA5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чала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ускуналарнинг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камчиликларини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ичида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этмаса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VII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бўлимида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кафолат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суммасини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ҳуқуқига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14DBA1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50.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чала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далолатномани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тузишдан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тортган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текшириб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Давархитектқурилишназорат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масала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иқтисодий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судга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мурожаат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истисно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DE985BC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XIII.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қилиш</w:t>
      </w:r>
      <w:proofErr w:type="spellEnd"/>
    </w:p>
    <w:p w14:paraId="62BC54A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E08CFA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киргандан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бошланиши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боғлиқ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ойдан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кўп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кечиктирилганда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31327F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тугатишнинг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айби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ойдан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ортиқ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кўпайган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жадвалига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риоя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этилмаганда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0F0F097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меъёрлари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пасайишига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бузилганда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64AC41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ҳуқуқига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D51B4A5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52.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28BF54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ишларнинг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боғлиқ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ойдан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ортиқ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тўхтатиб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қўйилганда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E4EA99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ACD1A83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қилинишини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талаб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ҳуқуқига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97EFBD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қўшма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тугалланмаган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78F4DCD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қарор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қоидасига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билдиришнома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юборади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FA8993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айбдор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20BF5A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йўл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қўйилмайди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FDCEE5A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XIV.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Томонларнинг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мулкий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жавобгарлиги</w:t>
      </w:r>
      <w:proofErr w:type="spellEnd"/>
    </w:p>
    <w:p w14:paraId="79B0B9E0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айбдор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0BD7CCA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0D2C2F6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Фуқаролик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5B172A">
        <w:rPr>
          <w:sz w:val="24"/>
          <w:szCs w:val="24"/>
        </w:rPr>
        <w:fldChar w:fldCharType="begin"/>
      </w:r>
      <w:r w:rsidRPr="005B172A">
        <w:rPr>
          <w:sz w:val="24"/>
          <w:szCs w:val="24"/>
        </w:rPr>
        <w:instrText xml:space="preserve"> HYPERLINK "https://lex.uz/docs/111189" </w:instrText>
      </w:r>
      <w:r w:rsidRPr="005B172A">
        <w:rPr>
          <w:sz w:val="24"/>
          <w:szCs w:val="24"/>
        </w:rPr>
        <w:fldChar w:fldCharType="separate"/>
      </w:r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>кодексида</w:t>
      </w:r>
      <w:proofErr w:type="spellEnd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fldChar w:fldCharType="end"/>
      </w: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юритувчи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субъектлар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фаолиятининг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шартномавий-ҳуқуқий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базаси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тўғрисида»ги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5B172A">
        <w:rPr>
          <w:sz w:val="24"/>
          <w:szCs w:val="24"/>
        </w:rPr>
        <w:fldChar w:fldCharType="begin"/>
      </w:r>
      <w:r w:rsidRPr="005B172A">
        <w:rPr>
          <w:sz w:val="24"/>
          <w:szCs w:val="24"/>
        </w:rPr>
        <w:instrText xml:space="preserve"> HYPERLINK "https://lex.uz/docs/18942" </w:instrText>
      </w:r>
      <w:r w:rsidRPr="005B172A">
        <w:rPr>
          <w:sz w:val="24"/>
          <w:szCs w:val="24"/>
        </w:rPr>
        <w:fldChar w:fldCharType="separate"/>
      </w:r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t>Қонунида</w:t>
      </w:r>
      <w:proofErr w:type="spellEnd"/>
      <w:r w:rsidRPr="005B172A">
        <w:rPr>
          <w:rFonts w:ascii="Times New Roman" w:hAnsi="Times New Roman"/>
          <w:color w:val="008080"/>
          <w:sz w:val="24"/>
          <w:szCs w:val="24"/>
          <w:lang w:eastAsia="ru-RU"/>
        </w:rPr>
        <w:fldChar w:fldCharType="end"/>
      </w: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ҳамда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жавобгарликка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тортилади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08E3C3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58.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иловаларда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риоя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қилмаганлиги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молиялаштирмаганлиги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бузганлиги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кечиктирилган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0,4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бунда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хизматлар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50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ошмаслиги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лозим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BA91D10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тўланиши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бузилиши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туфайли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1CCDE28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59.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ҳажмини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тортганлиги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тортган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сумманинг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20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B737B3A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60.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тушириш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бузганлиги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0,5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бироқ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бунда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шартномавий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жорий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50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ошмаслиги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лозим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84B199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топилган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нуқсонлар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камчиликлар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вақтида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этилмагани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юборилган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0,5</w:t>
      </w: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бунда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пенянинг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>50</w:t>
      </w: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ошмаслиги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керак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422890F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хизматлар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кўрсатишнинг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туфайли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BF0C2F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61.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стандартларга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меъёрлари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қоидаларига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Давархитектқурилишназорат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инспекциясининг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хулосаси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қабул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тортиши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20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фоизи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миқдорида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жарима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ундириш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ҳуқуқига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735DC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62.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моддада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жазолардан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бузган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тарафидан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харажатларда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, мол-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мулкнинг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йўқотилиши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шикастланишида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бой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фойдада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ифодаланадиган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қопланмаган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AE0BCE2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63.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ўтказиб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юборилганлиги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тарзда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даражада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бажарилмаганлиги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пеня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ушбу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ABB0909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XV.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Низоларни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ҳал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этиш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тартиби</w:t>
      </w:r>
      <w:proofErr w:type="spellEnd"/>
    </w:p>
    <w:p w14:paraId="54567D6D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64.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бекор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етказилган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зарарларни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қоплашда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пайдо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низоли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масалаларни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ҳал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а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олмаса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иқтисодий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кўриб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516B2AA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XVI.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Алоҳида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шартлар</w:t>
      </w:r>
      <w:proofErr w:type="spellEnd"/>
    </w:p>
    <w:p w14:paraId="22D0E51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65.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имзолангандан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олдинги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оғзаки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битимлар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ёзишмалар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ўзаро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келишувлари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йўқотади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2F1B28B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66.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объектига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қисмларига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Буюртмачининг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рухсатисиз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субпудратчилардан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бирон-бир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учинчи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сотиш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бериш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ҳуқуқига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бўлмайди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5B5CC1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67.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агар улар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шаклда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расмийлаштирилган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имзолашган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ҳақиқий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5024549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68.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билан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чиқмайдиган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янги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мажбуриятлар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пайдо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бўлишига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олиб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келадиган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аҳдлашувни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томонлар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ёки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ўзгартиришлар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шаклида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ёзма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тасдиқлаши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керак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328CDF3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69. Агар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якунлангандан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кейин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ўзига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мулкни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қолдирса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Буюртмачи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Пудратчи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майдонини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озод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қилиш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санасигача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ишлар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унга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тўлашни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кечиктиришга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ҳақлидир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F71A13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70.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тутилмаган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бошқа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барча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ҳоллар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учун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қонун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ҳужжатлари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нормалари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қўлланилади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543A9AE" w14:textId="77777777" w:rsidR="009E5E18" w:rsidRPr="005B172A" w:rsidRDefault="009E5E18" w:rsidP="009E5E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71.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шартнома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бир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кучга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эга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нусхада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тузилди</w:t>
      </w:r>
      <w:proofErr w:type="spellEnd"/>
      <w:r w:rsidRPr="005B17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FD1671B" w14:textId="77777777" w:rsidR="009E5E18" w:rsidRPr="005B172A" w:rsidRDefault="009E5E18" w:rsidP="009E5E18">
      <w:pPr>
        <w:spacing w:after="6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XVII.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Томонларнинг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банк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реквизитлари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юридик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манзиллари</w:t>
      </w:r>
      <w:proofErr w:type="spellEnd"/>
      <w:r w:rsidRPr="005B172A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:</w:t>
      </w:r>
    </w:p>
    <w:tbl>
      <w:tblPr>
        <w:tblW w:w="12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6"/>
        <w:gridCol w:w="6009"/>
      </w:tblGrid>
      <w:tr w:rsidR="009E5E18" w:rsidRPr="005B172A" w14:paraId="58D906D5" w14:textId="77777777" w:rsidTr="00882B9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F6D4A0E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EBECD5B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E5E18" w:rsidRPr="005B172A" w14:paraId="707686EA" w14:textId="77777777" w:rsidTr="00882B9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8E7ED00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М.Ў. 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47BE7C1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М.Ў. 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5E18" w:rsidRPr="005B172A" w14:paraId="12BB65CA" w14:textId="77777777" w:rsidTr="00882B93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E22BADE" w14:textId="77777777" w:rsidR="009E5E18" w:rsidRDefault="009E5E18" w:rsidP="00882B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656793DD" w14:textId="77777777" w:rsidR="009E5E18" w:rsidRDefault="009E5E18" w:rsidP="00882B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A06E7C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Юридик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хизмат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ёки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жалб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қилинган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адвокат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хулосаси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E5E18" w:rsidRPr="005B172A" w14:paraId="441C50CB" w14:textId="77777777" w:rsidTr="00882B93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A3CA896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Пудрат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шартномасига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илова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қилинадиган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ҳужжатлар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рўйхати</w:t>
            </w:r>
            <w:proofErr w:type="spellEnd"/>
            <w:r w:rsidRPr="005B1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E5E18" w:rsidRPr="005B172A" w14:paraId="76531972" w14:textId="77777777" w:rsidTr="00882B93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D544E78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Буюртмачи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Пудратчининг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кафиллиги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E18" w:rsidRPr="005B172A" w14:paraId="5500546A" w14:textId="77777777" w:rsidTr="00882B93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D043208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Ишларни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босқичларга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бўлган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ҳолда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молиялаштириш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жадвали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E18" w:rsidRPr="005B172A" w14:paraId="63DA3869" w14:textId="77777777" w:rsidTr="00882B93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8B35BED" w14:textId="77777777" w:rsidR="009E5E18" w:rsidRPr="005B172A" w:rsidRDefault="009E5E18" w:rsidP="00882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Ишларни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бажариш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асбоб-ускуналарни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ўрнатиш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жадвали</w:t>
            </w:r>
            <w:proofErr w:type="spellEnd"/>
            <w:r w:rsidRPr="005B1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5B2FF84" w14:textId="77777777" w:rsidR="009E5E18" w:rsidRPr="005B172A" w:rsidRDefault="009E5E18" w:rsidP="009E5E1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49A16C2" w14:textId="77777777" w:rsidR="009E5E18" w:rsidRDefault="009E5E18"/>
    <w:sectPr w:rsidR="009E5E18" w:rsidSect="001C6984">
      <w:pgSz w:w="11906" w:h="16838" w:code="9"/>
      <w:pgMar w:top="851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8"/>
    <w:rsid w:val="009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7D2"/>
  <w15:chartTrackingRefBased/>
  <w15:docId w15:val="{2915E18C-C7E2-4357-9EDD-F7ECC1F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97821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3869</Words>
  <Characters>22054</Characters>
  <Application>Microsoft Office Word</Application>
  <DocSecurity>0</DocSecurity>
  <Lines>183</Lines>
  <Paragraphs>51</Paragraphs>
  <ScaleCrop>false</ScaleCrop>
  <Company/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2022-01-14T10:26:00Z</dcterms:created>
  <dcterms:modified xsi:type="dcterms:W3CDTF">2022-01-14T10:27:00Z</dcterms:modified>
</cp:coreProperties>
</file>