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7E" w:rsidRDefault="00E21F7E" w:rsidP="00E21F7E">
      <w:pPr>
        <w:pStyle w:val="a3"/>
        <w:jc w:val="center"/>
        <w:rPr>
          <w:rFonts w:ascii="Cambria" w:hAnsi="Cambria" w:cs="Arial"/>
          <w:b/>
          <w:lang w:val="uz-Cyrl-UZ"/>
        </w:rPr>
      </w:pPr>
    </w:p>
    <w:p w:rsidR="00E21F7E" w:rsidRDefault="00E21F7E" w:rsidP="00E21F7E">
      <w:pPr>
        <w:pStyle w:val="a3"/>
        <w:jc w:val="center"/>
        <w:rPr>
          <w:rFonts w:ascii="Cambria" w:hAnsi="Cambria" w:cs="Arial"/>
          <w:b/>
          <w:lang w:val="uz-Cyrl-UZ"/>
        </w:rPr>
      </w:pPr>
      <w:r w:rsidRPr="00EB082B">
        <w:rPr>
          <w:rFonts w:ascii="Cambria" w:hAnsi="Cambria" w:cs="Arial"/>
          <w:b/>
          <w:lang w:val="uz-Cyrl-UZ"/>
        </w:rPr>
        <w:t xml:space="preserve">V. </w:t>
      </w:r>
      <w:r>
        <w:rPr>
          <w:rFonts w:ascii="Cambria" w:hAnsi="Cambria" w:cs="Arial"/>
          <w:b/>
          <w:lang w:val="uz-Cyrl-UZ"/>
        </w:rPr>
        <w:t>Шартнома проформаси</w:t>
      </w:r>
    </w:p>
    <w:p w:rsidR="00E21F7E" w:rsidRPr="00294D5E" w:rsidRDefault="00E21F7E" w:rsidP="00E21F7E">
      <w:pPr>
        <w:jc w:val="center"/>
        <w:rPr>
          <w:rFonts w:ascii="Cambria" w:hAnsi="Cambria" w:cs="Arial"/>
          <w:b/>
          <w:bCs/>
          <w:i/>
          <w:color w:val="FF0000"/>
          <w:lang w:val="uz-Cyrl-UZ"/>
        </w:rPr>
      </w:pPr>
      <w:r w:rsidRPr="00294D5E">
        <w:rPr>
          <w:rFonts w:ascii="Cambria" w:hAnsi="Cambria" w:cs="Arial"/>
          <w:b/>
          <w:bCs/>
          <w:i/>
          <w:color w:val="FF0000"/>
          <w:sz w:val="18"/>
          <w:lang w:val="uz-Cyrl-UZ"/>
        </w:rPr>
        <w:t>(</w:t>
      </w:r>
      <w:r>
        <w:rPr>
          <w:rFonts w:ascii="Cambria" w:hAnsi="Cambria" w:cs="Arial"/>
          <w:b/>
          <w:bCs/>
          <w:i/>
          <w:color w:val="FF0000"/>
          <w:sz w:val="18"/>
          <w:lang w:val="uz-Cyrl-UZ"/>
        </w:rPr>
        <w:t>танлаш (тендер) ғолиби билан муҳокама қилиниши ва ўзгартиришлар киритилиши характерига эга</w:t>
      </w:r>
      <w:r w:rsidRPr="00294D5E">
        <w:rPr>
          <w:rFonts w:ascii="Cambria" w:hAnsi="Cambria" w:cs="Arial"/>
          <w:b/>
          <w:bCs/>
          <w:i/>
          <w:color w:val="FF0000"/>
          <w:sz w:val="18"/>
          <w:lang w:val="uz-Cyrl-UZ"/>
        </w:rPr>
        <w:t>)</w:t>
      </w:r>
    </w:p>
    <w:p w:rsidR="00E21F7E" w:rsidRDefault="00E21F7E" w:rsidP="00E21F7E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val="uz-Cyrl-UZ"/>
        </w:rPr>
      </w:pPr>
    </w:p>
    <w:p w:rsidR="00E21F7E" w:rsidRDefault="00E21F7E" w:rsidP="00E21F7E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val="uz-Cyrl-UZ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МА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b/>
          <w:sz w:val="22"/>
          <w:szCs w:val="22"/>
        </w:rPr>
        <w:t>СУЛОТ ЕТКАЗИБ БЕРИШ ХА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b/>
          <w:sz w:val="22"/>
          <w:szCs w:val="22"/>
        </w:rPr>
        <w:t>ИДА</w:t>
      </w:r>
    </w:p>
    <w:p w:rsidR="00E21F7E" w:rsidRPr="00441AB5" w:rsidRDefault="00E21F7E" w:rsidP="00E21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uz-Cyrl-UZ"/>
        </w:rPr>
      </w:pPr>
    </w:p>
    <w:p w:rsidR="00E21F7E" w:rsidRDefault="00E21F7E" w:rsidP="00E21F7E">
      <w:pPr>
        <w:rPr>
          <w:lang w:val="uz-Cyrl-UZ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z-Cyrl-UZ"/>
        </w:rPr>
        <w:t xml:space="preserve">                                                                             </w:t>
      </w:r>
      <w:r w:rsidRPr="00441AB5">
        <w:rPr>
          <w:rFonts w:ascii="Times New Roman" w:hAnsi="Times New Roman" w:cs="Times New Roman"/>
          <w:b/>
          <w:bCs/>
          <w:sz w:val="22"/>
          <w:szCs w:val="22"/>
          <w:lang w:val="uz-Cyrl-UZ"/>
        </w:rPr>
        <w:t>шартнома</w:t>
      </w:r>
    </w:p>
    <w:p w:rsidR="00E21F7E" w:rsidRPr="00E21F7E" w:rsidRDefault="00E21F7E" w:rsidP="00E21F7E">
      <w:pPr>
        <w:rPr>
          <w:lang w:val="uz-Cyrl-UZ"/>
        </w:rPr>
      </w:pPr>
    </w:p>
    <w:p w:rsidR="00E21F7E" w:rsidRPr="00E21F7E" w:rsidRDefault="00E21F7E" w:rsidP="00E21F7E">
      <w:pPr>
        <w:rPr>
          <w:lang w:val="uz-Cyrl-UZ"/>
        </w:rPr>
      </w:pPr>
    </w:p>
    <w:p w:rsidR="00E21F7E" w:rsidRPr="00E21F7E" w:rsidRDefault="00E21F7E" w:rsidP="00E21F7E">
      <w:pPr>
        <w:rPr>
          <w:lang w:val="uz-Cyrl-UZ"/>
        </w:rPr>
      </w:pPr>
    </w:p>
    <w:p w:rsidR="00E21F7E" w:rsidRDefault="00E21F7E" w:rsidP="00E21F7E">
      <w:pPr>
        <w:rPr>
          <w:lang w:val="uz-Cyrl-UZ"/>
        </w:rPr>
      </w:pPr>
    </w:p>
    <w:p w:rsidR="00E21F7E" w:rsidRPr="00E21F7E" w:rsidRDefault="00E21F7E" w:rsidP="00E21F7E">
      <w:pPr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  <w:r>
        <w:rPr>
          <w:lang w:val="uz-Cyrl-UZ"/>
        </w:rPr>
        <w:tab/>
      </w: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________________ш.          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              </w:t>
      </w: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>№ _«____»         _________ 20____йил.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ab/>
        <w:t>Бундан буён матнда «МА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СУЛОТ ЕТКАЗИБ БЕРУВЧИ» деб аталувчи __________________________ корхонаси номидан корхона рахбари _____________________ бир томондан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амда бундан буён матнда  «БУЮРТМАЧИ» деб аталувчи ________________________________номидан х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жалик юриту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в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чи субъект  ра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бари ____________________________ иккинчи томондан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уйидагилар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ўғ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рисида шартнома туздилар: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widowControl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ШАРТНОМА ПРЕДМЕТИ</w:t>
      </w:r>
    </w:p>
    <w:p w:rsidR="00E21F7E" w:rsidRPr="00441AB5" w:rsidRDefault="00E21F7E" w:rsidP="00E21F7E">
      <w:pPr>
        <w:ind w:left="2460"/>
        <w:rPr>
          <w:rFonts w:ascii="Times New Roman" w:hAnsi="Times New Roman" w:cs="Times New Roman"/>
          <w:b/>
          <w:sz w:val="22"/>
          <w:szCs w:val="22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sz w:val="22"/>
          <w:szCs w:val="22"/>
        </w:rPr>
        <w:t>1.1.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СУЛОТ ЕТКАЗИБ БЕРУВЧИ"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зида тайёрланган __________________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 xml:space="preserve"> </w:t>
      </w:r>
      <w:r w:rsidRPr="00441AB5">
        <w:rPr>
          <w:rFonts w:ascii="Times New Roman" w:hAnsi="Times New Roman" w:cs="Times New Roman"/>
          <w:sz w:val="22"/>
          <w:szCs w:val="22"/>
        </w:rPr>
        <w:t>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сулотини "БУЮРТМАЧИ" га ха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ини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лагандан с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нг етказиб беради, "БУЮРТМАЧИ" эса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сулотни ха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ини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лаб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,</w:t>
      </w:r>
      <w:r w:rsidRPr="00441AB5">
        <w:rPr>
          <w:rFonts w:ascii="Times New Roman" w:hAnsi="Times New Roman" w:cs="Times New Roman"/>
          <w:sz w:val="22"/>
          <w:szCs w:val="22"/>
        </w:rPr>
        <w:t xml:space="preserve">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абул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илиб олади.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 xml:space="preserve"> Техник топшириқ иловаси шартноманинг ажралмас қисми хисобланади.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 xml:space="preserve">2. ШАРТНОМА СУММАСИ ВА ТОМОНЛАР 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b/>
          <w:sz w:val="22"/>
          <w:szCs w:val="22"/>
        </w:rPr>
        <w:t xml:space="preserve">РТАСИДА 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b/>
          <w:sz w:val="22"/>
          <w:szCs w:val="22"/>
        </w:rPr>
        <w:t>ИСОБ-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КИТОБЛАРНИ АМАЛГА ОШИРИШ ТАРТИБИ.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2.1. Шартноманинг умумий суммаси ________________________ с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мни ташкил этади.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2.2.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сулотни нархи томонлар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ртасида эркин нархларда белгиланади.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2.3.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сулотни топшириш ва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тида нархи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згарса,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 ЕТКАЗИБ БЕРУВЧИ" "БУЮРТМАЧИ" ни огохлантиради ва уни розилигини олади.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sz w:val="22"/>
          <w:szCs w:val="22"/>
        </w:rPr>
        <w:t xml:space="preserve">2.4. Томонлар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 xml:space="preserve">ртасида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исоб-китоб пул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тказиш й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ли билан амалга оширилади.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3. МА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b/>
          <w:sz w:val="22"/>
          <w:szCs w:val="22"/>
        </w:rPr>
        <w:t>СУЛОТ МИ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b/>
          <w:sz w:val="22"/>
          <w:szCs w:val="22"/>
        </w:rPr>
        <w:t>ДОРИ ВА ЕТКАЗИБ БЕРИШ МУДДАТЛАРИ.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40"/>
        <w:gridCol w:w="1995"/>
        <w:gridCol w:w="1342"/>
        <w:gridCol w:w="1348"/>
        <w:gridCol w:w="1329"/>
        <w:gridCol w:w="1348"/>
        <w:gridCol w:w="1343"/>
      </w:tblGrid>
      <w:tr w:rsidR="00E21F7E" w:rsidRPr="00441AB5" w:rsidTr="00F20A7C">
        <w:tc>
          <w:tcPr>
            <w:tcW w:w="648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т.р.</w:t>
            </w:r>
          </w:p>
        </w:tc>
        <w:tc>
          <w:tcPr>
            <w:tcW w:w="2086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Номи</w:t>
            </w:r>
          </w:p>
        </w:tc>
        <w:tc>
          <w:tcPr>
            <w:tcW w:w="1367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Ў</w:t>
            </w: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лчов бирлиги</w:t>
            </w:r>
          </w:p>
        </w:tc>
        <w:tc>
          <w:tcPr>
            <w:tcW w:w="1367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Ми</w:t>
            </w:r>
            <w:r w:rsidRPr="00441AB5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қ</w:t>
            </w: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дори</w:t>
            </w:r>
          </w:p>
        </w:tc>
        <w:tc>
          <w:tcPr>
            <w:tcW w:w="1367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Нархи</w:t>
            </w:r>
          </w:p>
        </w:tc>
        <w:tc>
          <w:tcPr>
            <w:tcW w:w="1368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Суммаси</w:t>
            </w:r>
          </w:p>
        </w:tc>
        <w:tc>
          <w:tcPr>
            <w:tcW w:w="1368" w:type="dxa"/>
            <w:vAlign w:val="center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AB5">
              <w:rPr>
                <w:rFonts w:ascii="Times New Roman" w:hAnsi="Times New Roman" w:cs="Times New Roman"/>
                <w:sz w:val="22"/>
                <w:szCs w:val="22"/>
              </w:rPr>
              <w:t>Етказиб бериш муддати</w:t>
            </w:r>
          </w:p>
        </w:tc>
      </w:tr>
      <w:tr w:rsidR="00E21F7E" w:rsidRPr="00441AB5" w:rsidTr="00F20A7C">
        <w:tc>
          <w:tcPr>
            <w:tcW w:w="64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7E" w:rsidRPr="00441AB5" w:rsidTr="00F20A7C">
        <w:tc>
          <w:tcPr>
            <w:tcW w:w="64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7E" w:rsidRPr="00441AB5" w:rsidTr="00F20A7C">
        <w:tc>
          <w:tcPr>
            <w:tcW w:w="64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7E" w:rsidRPr="00441AB5" w:rsidTr="00F20A7C">
        <w:tc>
          <w:tcPr>
            <w:tcW w:w="64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7E" w:rsidRPr="00441AB5" w:rsidTr="00F20A7C">
        <w:tc>
          <w:tcPr>
            <w:tcW w:w="64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7E" w:rsidRPr="00441AB5" w:rsidTr="00F20A7C">
        <w:tc>
          <w:tcPr>
            <w:tcW w:w="64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6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7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8" w:type="dxa"/>
          </w:tcPr>
          <w:p w:rsidR="00E21F7E" w:rsidRPr="00441AB5" w:rsidRDefault="00E21F7E" w:rsidP="00F20A7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4. "МАҲСУЛОТ ЕТКАЗИБ БЕРУВЧИ" НИНГ ҲУҚУҚ ВА</w:t>
      </w:r>
    </w:p>
    <w:p w:rsidR="00E21F7E" w:rsidRPr="00E21F7E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>МАЖБУРИЯТЛАРИ.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lastRenderedPageBreak/>
        <w:t>4.1. Ушбу шарт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но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мадаги шартлар асосида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сулот ва унга тегишли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ужжатларни "БУЮРТМАЧИ" га топширади.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4.2. "БУЮРТМАЧИ"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га берилиши лозим бўлган махсулотни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 ва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давлат стандартларига жавоб беришини 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айта текширувдан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тказади.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>4.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3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. "БУЮРТМАЧИ" га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сулот топширилгандан с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нг уни са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лаш ва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андай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олда ишлатиш каби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олатларга жавобгарликдан мустаснодир.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E21F7E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5. "БУЮРТМАЧИ" НИНГ 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>У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>У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ВА МАЖБУРИЯТЛАРИ.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>5.1.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СУЛОТ ЕТКАЗИБ БЕРУВЧИ" га олинадиган ____________________________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сулоти учун аввалдан _______ % ми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дорида аванс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лайди.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>5.2. Олинган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сулотнинг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олган пулини бир ой муддатда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лаб беришни кафолатлайди.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>5.3.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сулотни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з вактида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абул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илиб олади.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абул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илиб олиш ва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тида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сулотни сифати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,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 ми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дори шартнома талабларига мос келмаса, бу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да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СУЛОТ ЕТКАЗИБ БЕРУВЧИ" га дар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ол хабар 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илади.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E21F7E">
        <w:rPr>
          <w:rFonts w:ascii="Times New Roman" w:hAnsi="Times New Roman" w:cs="Times New Roman"/>
          <w:sz w:val="22"/>
          <w:szCs w:val="22"/>
          <w:lang w:val="uz-Cyrl-UZ"/>
        </w:rPr>
        <w:t>5.4.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сулот билан бо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ғ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ли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 барча жараёнларда хавфсизлик техникаси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хамда ёнғин хавфсизлиги қ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оидалари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ни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 xml:space="preserve">ла таъминлашни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E21F7E">
        <w:rPr>
          <w:rFonts w:ascii="Times New Roman" w:hAnsi="Times New Roman" w:cs="Times New Roman"/>
          <w:sz w:val="22"/>
          <w:szCs w:val="22"/>
          <w:lang w:val="uz-Cyrl-UZ"/>
        </w:rPr>
        <w:t>з зиммасига олади.</w:t>
      </w:r>
    </w:p>
    <w:p w:rsidR="00E21F7E" w:rsidRPr="00E21F7E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6. МА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b/>
          <w:sz w:val="22"/>
          <w:szCs w:val="22"/>
        </w:rPr>
        <w:t xml:space="preserve">СУЛОТ СИФАТИ, 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</w:t>
      </w:r>
      <w:r w:rsidRPr="00441AB5">
        <w:rPr>
          <w:rFonts w:ascii="Times New Roman" w:hAnsi="Times New Roman" w:cs="Times New Roman"/>
          <w:b/>
          <w:sz w:val="22"/>
          <w:szCs w:val="22"/>
        </w:rPr>
        <w:t>ЕТКАЗИБ БЕРИШ МУДДАТИ ВА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ТАРТИБИ.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6.1. Етказиб берилган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 сифати белгиланган андозаларга мос келиши шарт.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6.2.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сулотлар шартнома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да</w:t>
      </w:r>
      <w:r w:rsidRPr="00441AB5">
        <w:rPr>
          <w:rFonts w:ascii="Times New Roman" w:hAnsi="Times New Roman" w:cs="Times New Roman"/>
          <w:sz w:val="22"/>
          <w:szCs w:val="22"/>
        </w:rPr>
        <w:t xml:space="preserve"> белгиланган муддатларда етказиб берилади.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6.3.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сулотларни олиб кетиш харажатлари "БУЮРТМАЧИ" 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исобидан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ланади.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6.4. 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сулотларни "БУЮРТМАЧИ" нинг вакили сифати ва ми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дори б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йича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СУЛОТ ЕТКАЗИБ БЕРУВЧИ" нинг омборида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абул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илиб олади.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sz w:val="22"/>
          <w:szCs w:val="22"/>
        </w:rPr>
        <w:t>7. МУЛКИЙ ЖАВОБГАРЛИК.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7.1. Товарларни етказиб бериш муддатлари кечиктириб юборилганда,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 етказиб берилмаган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олларда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СУЛОТ ЕТКАЗИБ БЕРУВЧИ" "БУЮРТМАЧИ" га кечиктирилган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ар бир кун учун мажбурият бажарилмаган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исмининг 0,2 фоизи ми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дорида пеня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лайди, биро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 бунда пенянинг умумий суммаси етказиб берилмаган товарлар ба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осининг 25 фоизидан ошиб кетмаслиги лозим.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sz w:val="22"/>
          <w:szCs w:val="22"/>
        </w:rPr>
        <w:t xml:space="preserve">7.2. Етказиб берилган товарлар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ини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з ва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тида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ламаганлик учун "БУЮРТМАЧИ" "МА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СУЛОТ ЕТКАЗИБ БЕРУВЧИ" га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ланмаган суммани 25 фоизи ми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дорида жарима ва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 xml:space="preserve">тказиб юборилган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ар бир кун учун кечиктирилган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лов суммасининг 0,5 фоизини, аммо кечиктирилган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лов суммасининг 50 фоизидан орти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 xml:space="preserve"> б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лмаган ми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қ</w:t>
      </w:r>
      <w:r w:rsidRPr="00441AB5">
        <w:rPr>
          <w:rFonts w:ascii="Times New Roman" w:hAnsi="Times New Roman" w:cs="Times New Roman"/>
          <w:sz w:val="22"/>
          <w:szCs w:val="22"/>
        </w:rPr>
        <w:t>дорда пеня т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sz w:val="22"/>
          <w:szCs w:val="22"/>
        </w:rPr>
        <w:t>лайди.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441AB5" w:rsidRDefault="00E21F7E" w:rsidP="00E21F7E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КОРРУПЦИЯГА ҚАРШИ ЧОРАЛАР</w:t>
      </w:r>
    </w:p>
    <w:p w:rsidR="00E21F7E" w:rsidRPr="00441AB5" w:rsidRDefault="00E21F7E" w:rsidP="00E21F7E">
      <w:pPr>
        <w:ind w:left="1217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441AB5" w:rsidRDefault="00E21F7E" w:rsidP="00E21F7E">
      <w:pPr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</w:pP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8.1 Ўзбекистон Республикасининг 22.04.2021 йилдаги "Давлат харидлари тўғрисида"ги ЎРҚ-684-сон Қонуни талабларига риоя этиш мажбуриятини олганлигини</w:t>
      </w:r>
    </w:p>
    <w:p w:rsidR="00E21F7E" w:rsidRPr="00441AB5" w:rsidRDefault="00E21F7E" w:rsidP="00E21F7E">
      <w:pPr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</w:pPr>
      <w:r w:rsidRPr="00441AB5">
        <w:rPr>
          <w:rFonts w:ascii="Times New Roman" w:hAnsi="Times New Roman" w:cs="Times New Roman"/>
          <w:sz w:val="22"/>
          <w:szCs w:val="22"/>
          <w:lang w:val="uz-Cyrl-UZ"/>
        </w:rPr>
        <w:t xml:space="preserve">8.2 </w:t>
      </w: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Ҳар қандай ҳозирги ёки аввалги мансабдор шахсга ёки Буюртмачининг ёки бошқа давлат органининг ходимига ишга ёллаш тўғрисида ёки бирорта ҳатти-ҳаракатни амалга оширишга таъсир кўрсатиш, давлат харидлари жараёнида Буюртмачининг бирорта харид тартиб-таомилларини қўллаш ёки қарор қабул қилиш мақсадида хизмат кўрсатиш ёки тўғрисидаги таклиф, ҳар қандай шаклдаги рағбатлантирувни бевосита ёки билвосита таклиф қилмаслик ва бермаслик мажбуриятини ўзига олганлигини.</w:t>
      </w:r>
    </w:p>
    <w:p w:rsidR="00E21F7E" w:rsidRPr="00441AB5" w:rsidRDefault="00E21F7E" w:rsidP="00E21F7E">
      <w:pPr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</w:pP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8.3 Коррупцияга қарши ҳаракатлар содир этмаслик мажбуриятларини ўз зиммасига олганлигига, шу жумладан аффилланганлик ҳолатлари аниқланганда.</w:t>
      </w:r>
    </w:p>
    <w:p w:rsidR="00E21F7E" w:rsidRPr="00441AB5" w:rsidRDefault="00E21F7E" w:rsidP="00E21F7E">
      <w:pPr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</w:pP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8.4 Буюртмачи билан манфаатлар тўқнашувига эга эмаслигини, ижрочини танлаш бўйича қарор қабул қилиш ҳуқуқига эга бўлган таъсисчилар ва/ёки ходимлар ўртасида яқин қариндошлик алоқаларига эга эмаслигини.</w:t>
      </w:r>
    </w:p>
    <w:p w:rsidR="00E21F7E" w:rsidRPr="00441AB5" w:rsidRDefault="00E21F7E" w:rsidP="00E21F7E">
      <w:pPr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</w:pPr>
      <w:r w:rsidRPr="00441AB5">
        <w:rPr>
          <w:rFonts w:ascii="Times New Roman" w:hAnsi="Times New Roman" w:cs="Times New Roman"/>
          <w:sz w:val="22"/>
          <w:szCs w:val="22"/>
          <w:lang w:val="uz-Cyrl-UZ"/>
        </w:rPr>
        <w:t xml:space="preserve">8.5 </w:t>
      </w: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Нархларни ёки танлаш натижаларини бузиш мақсадида бошқа иштирокчилар билан келишувга эга эмаслигини.</w:t>
      </w:r>
    </w:p>
    <w:p w:rsidR="00E21F7E" w:rsidRPr="00441AB5" w:rsidRDefault="00E21F7E" w:rsidP="00E21F7E">
      <w:pPr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</w:pP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8.6 Фирибгарлик, маълумотларни сохталаштириш ва коррупцияни олдини олиш мажбуриятини олганлигини.</w:t>
      </w:r>
    </w:p>
    <w:p w:rsidR="00E21F7E" w:rsidRPr="00441AB5" w:rsidRDefault="00E21F7E" w:rsidP="00E21F7E">
      <w:pPr>
        <w:rPr>
          <w:rFonts w:ascii="Times New Roman" w:hAnsi="Times New Roman" w:cs="Times New Roman"/>
          <w:sz w:val="22"/>
          <w:szCs w:val="22"/>
          <w:lang w:val="uz-Cyrl-UZ"/>
        </w:rPr>
      </w:pP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lastRenderedPageBreak/>
        <w:t xml:space="preserve">8.7 Сохта ёки </w:t>
      </w:r>
      <w:r w:rsidRPr="00441AB5">
        <w:rPr>
          <w:rFonts w:ascii="Times New Roman" w:eastAsia="Calibri" w:hAnsi="Times New Roman" w:cs="Times New Roman"/>
          <w:sz w:val="22"/>
          <w:szCs w:val="22"/>
          <w:lang w:val="uz-Cyrl-UZ" w:bidi="ar-SA"/>
        </w:rPr>
        <w:t xml:space="preserve">қалбаки </w:t>
      </w:r>
      <w:r w:rsidRPr="00441AB5">
        <w:rPr>
          <w:rFonts w:ascii="Times New Roman" w:eastAsia="Times New Roman" w:hAnsi="Times New Roman" w:cs="Times New Roman"/>
          <w:color w:val="auto"/>
          <w:sz w:val="22"/>
          <w:szCs w:val="22"/>
          <w:lang w:val="uz-Cyrl-UZ" w:bidi="ar-SA"/>
        </w:rPr>
        <w:t>ҳужжатларни тақдим этмаслигини, ушбу лотда иштирок этган аффилланган шахслар ҳақидаги маълумотларни ошкор қилиш мажбуриятини олганлигини тасдиқлаймиз</w:t>
      </w:r>
    </w:p>
    <w:p w:rsidR="00E21F7E" w:rsidRPr="00441AB5" w:rsidRDefault="00E21F7E" w:rsidP="00E21F7E">
      <w:pPr>
        <w:rPr>
          <w:rFonts w:ascii="Times New Roman" w:hAnsi="Times New Roman" w:cs="Times New Roman"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ab/>
      </w:r>
    </w:p>
    <w:p w:rsidR="00E21F7E" w:rsidRPr="00441AB5" w:rsidRDefault="00E21F7E" w:rsidP="00E21F7E">
      <w:pPr>
        <w:ind w:left="708" w:firstLine="708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441AB5" w:rsidRDefault="00E21F7E" w:rsidP="00E21F7E">
      <w:pPr>
        <w:ind w:left="708" w:firstLine="708"/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9. НИЗОЛАРНИ ҲАЛ ЭТИШ ТАРТИБИ.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  <w:lang w:val="uz-Cyrl-UZ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uz-Cyrl-UZ"/>
        </w:rPr>
        <w:t>9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.1. Ушбу шартномани тузиш, бажариш, ўзгартириш ва бекор қилиш вақтида тарафлар ўртасида келиб чиқадиган низолар, шунингдек, етказилган зарарни қоплаш тўғрисидаги низолар тарафларнинг келишувига биноан иқтисодий суди томонидан ҳал килинади.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ab/>
      </w:r>
      <w:r w:rsidRPr="00441AB5">
        <w:rPr>
          <w:rFonts w:ascii="Times New Roman" w:hAnsi="Times New Roman" w:cs="Times New Roman"/>
          <w:sz w:val="22"/>
          <w:szCs w:val="22"/>
        </w:rPr>
        <w:t xml:space="preserve">Шартнома муддати  20 _____ йил «_____» ___________________дан 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ab/>
      </w:r>
      <w:r w:rsidRPr="00441AB5">
        <w:rPr>
          <w:rFonts w:ascii="Times New Roman" w:hAnsi="Times New Roman" w:cs="Times New Roman"/>
          <w:sz w:val="22"/>
          <w:szCs w:val="22"/>
        </w:rPr>
        <w:tab/>
      </w:r>
      <w:r w:rsidRPr="00441AB5">
        <w:rPr>
          <w:rFonts w:ascii="Times New Roman" w:hAnsi="Times New Roman" w:cs="Times New Roman"/>
          <w:sz w:val="22"/>
          <w:szCs w:val="22"/>
        </w:rPr>
        <w:tab/>
      </w:r>
      <w:r w:rsidRPr="00441AB5">
        <w:rPr>
          <w:rFonts w:ascii="Times New Roman" w:hAnsi="Times New Roman" w:cs="Times New Roman"/>
          <w:sz w:val="22"/>
          <w:szCs w:val="22"/>
        </w:rPr>
        <w:tab/>
      </w:r>
      <w:r w:rsidRPr="00441AB5">
        <w:rPr>
          <w:rFonts w:ascii="Times New Roman" w:hAnsi="Times New Roman" w:cs="Times New Roman"/>
          <w:sz w:val="22"/>
          <w:szCs w:val="22"/>
        </w:rPr>
        <w:tab/>
        <w:t xml:space="preserve">            20 _____ йил «_____» ___________________гача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ab/>
      </w:r>
      <w:r w:rsidRPr="00441AB5">
        <w:rPr>
          <w:rFonts w:ascii="Times New Roman" w:hAnsi="Times New Roman" w:cs="Times New Roman"/>
          <w:sz w:val="22"/>
          <w:szCs w:val="22"/>
        </w:rPr>
        <w:tab/>
      </w:r>
      <w:r w:rsidRPr="00441AB5">
        <w:rPr>
          <w:rFonts w:ascii="Times New Roman" w:hAnsi="Times New Roman" w:cs="Times New Roman"/>
          <w:b/>
          <w:i/>
          <w:sz w:val="22"/>
          <w:szCs w:val="22"/>
        </w:rPr>
        <w:t>Тарафларнинг юр</w:t>
      </w:r>
      <w:r w:rsidRPr="00441AB5">
        <w:rPr>
          <w:rFonts w:ascii="Times New Roman" w:hAnsi="Times New Roman" w:cs="Times New Roman"/>
          <w:b/>
          <w:i/>
          <w:sz w:val="22"/>
          <w:szCs w:val="22"/>
          <w:lang w:val="uz-Cyrl-UZ"/>
        </w:rPr>
        <w:t>и</w:t>
      </w:r>
      <w:r w:rsidRPr="00441AB5">
        <w:rPr>
          <w:rFonts w:ascii="Times New Roman" w:hAnsi="Times New Roman" w:cs="Times New Roman"/>
          <w:b/>
          <w:i/>
          <w:sz w:val="22"/>
          <w:szCs w:val="22"/>
        </w:rPr>
        <w:t>дик манзилго</w:t>
      </w:r>
      <w:r w:rsidRPr="00441AB5">
        <w:rPr>
          <w:rFonts w:ascii="Times New Roman" w:hAnsi="Times New Roman" w:cs="Times New Roman"/>
          <w:b/>
          <w:i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b/>
          <w:i/>
          <w:sz w:val="22"/>
          <w:szCs w:val="22"/>
        </w:rPr>
        <w:t>и ва т</w:t>
      </w:r>
      <w:r w:rsidRPr="00441AB5">
        <w:rPr>
          <w:rFonts w:ascii="Times New Roman" w:hAnsi="Times New Roman" w:cs="Times New Roman"/>
          <w:b/>
          <w:i/>
          <w:sz w:val="22"/>
          <w:szCs w:val="22"/>
          <w:lang w:val="uz-Cyrl-UZ"/>
        </w:rPr>
        <w:t>ў</w:t>
      </w:r>
      <w:r w:rsidRPr="00441AB5">
        <w:rPr>
          <w:rFonts w:ascii="Times New Roman" w:hAnsi="Times New Roman" w:cs="Times New Roman"/>
          <w:b/>
          <w:i/>
          <w:sz w:val="22"/>
          <w:szCs w:val="22"/>
        </w:rPr>
        <w:t>лов реквизитлари:</w:t>
      </w:r>
    </w:p>
    <w:p w:rsidR="00E21F7E" w:rsidRPr="00441AB5" w:rsidRDefault="00E21F7E" w:rsidP="00E21F7E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21F7E" w:rsidRPr="00441AB5" w:rsidRDefault="00E21F7E" w:rsidP="00E21F7E">
      <w:pPr>
        <w:rPr>
          <w:rFonts w:ascii="Times New Roman" w:hAnsi="Times New Roman" w:cs="Times New Roman"/>
          <w:b/>
          <w:i/>
          <w:sz w:val="22"/>
          <w:szCs w:val="22"/>
        </w:rPr>
      </w:pPr>
    </w:p>
    <w:p w:rsidR="00E21F7E" w:rsidRPr="00441AB5" w:rsidRDefault="00E21F7E" w:rsidP="00E21F7E">
      <w:pPr>
        <w:rPr>
          <w:rFonts w:ascii="Times New Roman" w:hAnsi="Times New Roman" w:cs="Times New Roman"/>
          <w:b/>
          <w:sz w:val="22"/>
          <w:szCs w:val="22"/>
        </w:rPr>
      </w:pPr>
      <w:r w:rsidRPr="00441AB5">
        <w:rPr>
          <w:rFonts w:ascii="Times New Roman" w:hAnsi="Times New Roman" w:cs="Times New Roman"/>
          <w:b/>
          <w:i/>
          <w:sz w:val="22"/>
          <w:szCs w:val="22"/>
        </w:rPr>
        <w:t xml:space="preserve">                     </w:t>
      </w:r>
      <w:r w:rsidRPr="00441AB5">
        <w:rPr>
          <w:rFonts w:ascii="Times New Roman" w:hAnsi="Times New Roman" w:cs="Times New Roman"/>
          <w:b/>
          <w:sz w:val="22"/>
          <w:szCs w:val="22"/>
        </w:rPr>
        <w:t>"МА</w:t>
      </w:r>
      <w:r w:rsidRPr="00441AB5">
        <w:rPr>
          <w:rFonts w:ascii="Times New Roman" w:hAnsi="Times New Roman" w:cs="Times New Roman"/>
          <w:b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b/>
          <w:sz w:val="22"/>
          <w:szCs w:val="22"/>
        </w:rPr>
        <w:t xml:space="preserve">СУЛОТ ЕТКАЗИБ БЕРУВЧИ" </w:t>
      </w:r>
      <w:r w:rsidRPr="00441AB5">
        <w:rPr>
          <w:rFonts w:ascii="Times New Roman" w:hAnsi="Times New Roman" w:cs="Times New Roman"/>
          <w:b/>
          <w:sz w:val="22"/>
          <w:szCs w:val="22"/>
        </w:rPr>
        <w:tab/>
      </w:r>
      <w:r w:rsidRPr="00441AB5">
        <w:rPr>
          <w:rFonts w:ascii="Times New Roman" w:hAnsi="Times New Roman" w:cs="Times New Roman"/>
          <w:b/>
          <w:sz w:val="22"/>
          <w:szCs w:val="22"/>
        </w:rPr>
        <w:tab/>
      </w:r>
      <w:r w:rsidRPr="00441AB5">
        <w:rPr>
          <w:rFonts w:ascii="Times New Roman" w:hAnsi="Times New Roman" w:cs="Times New Roman"/>
          <w:b/>
          <w:sz w:val="22"/>
          <w:szCs w:val="22"/>
        </w:rPr>
        <w:tab/>
        <w:t xml:space="preserve">       "БУЮРТМАЧИ"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441AB5">
        <w:rPr>
          <w:rFonts w:ascii="Times New Roman" w:hAnsi="Times New Roman" w:cs="Times New Roman"/>
          <w:sz w:val="22"/>
          <w:szCs w:val="22"/>
        </w:rPr>
        <w:tab/>
        <w:t xml:space="preserve">            __________________________________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 xml:space="preserve">Манзил: ______________________________ </w:t>
      </w:r>
      <w:r w:rsidRPr="00441AB5">
        <w:rPr>
          <w:rFonts w:ascii="Times New Roman" w:hAnsi="Times New Roman" w:cs="Times New Roman"/>
          <w:sz w:val="22"/>
          <w:szCs w:val="22"/>
        </w:rPr>
        <w:tab/>
        <w:t xml:space="preserve">            Манзил: __________________________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 xml:space="preserve">/р:________________________МФО:_______           </w:t>
      </w:r>
      <w:r w:rsidRPr="00441AB5">
        <w:rPr>
          <w:rFonts w:ascii="Times New Roman" w:hAnsi="Times New Roman" w:cs="Times New Roman"/>
          <w:sz w:val="22"/>
          <w:szCs w:val="22"/>
          <w:lang w:val="uz-Cyrl-UZ"/>
        </w:rPr>
        <w:t>Ҳ</w:t>
      </w:r>
      <w:r w:rsidRPr="00441AB5">
        <w:rPr>
          <w:rFonts w:ascii="Times New Roman" w:hAnsi="Times New Roman" w:cs="Times New Roman"/>
          <w:sz w:val="22"/>
          <w:szCs w:val="22"/>
        </w:rPr>
        <w:t>/р:____________________МФО:______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Банк: __________________________________              Банк:______________________________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 xml:space="preserve">ИНН:_______________.  ОКОНХ: __________ </w:t>
      </w:r>
      <w:r w:rsidRPr="00441AB5">
        <w:rPr>
          <w:rFonts w:ascii="Times New Roman" w:hAnsi="Times New Roman" w:cs="Times New Roman"/>
          <w:sz w:val="22"/>
          <w:szCs w:val="22"/>
        </w:rPr>
        <w:tab/>
        <w:t xml:space="preserve">                ИНН:_____________.  ОКОНХ: ________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  <w:r w:rsidRPr="00441AB5">
        <w:rPr>
          <w:rFonts w:ascii="Times New Roman" w:hAnsi="Times New Roman" w:cs="Times New Roman"/>
          <w:sz w:val="22"/>
          <w:szCs w:val="22"/>
        </w:rPr>
        <w:t>Тел.: ___________________________________              Тел.: _______________________________</w:t>
      </w:r>
    </w:p>
    <w:p w:rsidR="00E21F7E" w:rsidRPr="00441AB5" w:rsidRDefault="00E21F7E" w:rsidP="00E21F7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21F7E" w:rsidRPr="00E21F7E" w:rsidRDefault="00E21F7E" w:rsidP="00E21F7E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val="uz-Cyrl-UZ"/>
        </w:rPr>
        <w:t xml:space="preserve">    </w:t>
      </w:r>
      <w:r w:rsidRPr="00441AB5">
        <w:rPr>
          <w:rFonts w:ascii="Times New Roman" w:hAnsi="Times New Roman" w:cs="Times New Roman"/>
          <w:b/>
          <w:sz w:val="22"/>
          <w:szCs w:val="22"/>
        </w:rPr>
        <w:t>Рахбар: ________________________________</w:t>
      </w:r>
      <w:r w:rsidRPr="00441AB5">
        <w:rPr>
          <w:rFonts w:ascii="Times New Roman" w:hAnsi="Times New Roman" w:cs="Times New Roman"/>
          <w:b/>
          <w:sz w:val="22"/>
          <w:szCs w:val="22"/>
        </w:rPr>
        <w:tab/>
        <w:t xml:space="preserve">              Рахбар: </w:t>
      </w:r>
      <w:r>
        <w:rPr>
          <w:rFonts w:ascii="Times New Roman" w:hAnsi="Times New Roman" w:cs="Times New Roman"/>
          <w:b/>
          <w:sz w:val="22"/>
          <w:szCs w:val="22"/>
        </w:rPr>
        <w:t>________________________</w:t>
      </w:r>
      <w:bookmarkStart w:id="0" w:name="_GoBack"/>
      <w:bookmarkEnd w:id="0"/>
    </w:p>
    <w:p w:rsidR="00E21F7E" w:rsidRPr="00441AB5" w:rsidRDefault="00E21F7E" w:rsidP="00E21F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uz-Cyrl-UZ"/>
        </w:rPr>
      </w:pPr>
    </w:p>
    <w:p w:rsidR="00E21F7E" w:rsidRDefault="00E21F7E" w:rsidP="00E21F7E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val="uz-Cyrl-UZ"/>
        </w:rPr>
      </w:pPr>
    </w:p>
    <w:p w:rsidR="00724D3F" w:rsidRPr="00E21F7E" w:rsidRDefault="00724D3F" w:rsidP="00E21F7E">
      <w:pPr>
        <w:tabs>
          <w:tab w:val="left" w:pos="1065"/>
        </w:tabs>
        <w:rPr>
          <w:lang w:val="uz-Cyrl-UZ"/>
        </w:rPr>
      </w:pPr>
    </w:p>
    <w:sectPr w:rsidR="00724D3F" w:rsidRPr="00E21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4D09"/>
    <w:multiLevelType w:val="hybridMultilevel"/>
    <w:tmpl w:val="CCA6B20A"/>
    <w:lvl w:ilvl="0" w:tplc="A3486D62">
      <w:start w:val="8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>
    <w:nsid w:val="33C71A33"/>
    <w:multiLevelType w:val="hybridMultilevel"/>
    <w:tmpl w:val="561AB312"/>
    <w:lvl w:ilvl="0" w:tplc="6680D148">
      <w:start w:val="1"/>
      <w:numFmt w:val="decimal"/>
      <w:lvlText w:val="%1."/>
      <w:lvlJc w:val="left"/>
      <w:pPr>
        <w:tabs>
          <w:tab w:val="num" w:pos="3444"/>
        </w:tabs>
        <w:ind w:left="3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B9"/>
    <w:rsid w:val="00724D3F"/>
    <w:rsid w:val="00A070B9"/>
    <w:rsid w:val="00E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B1823-BFA0-4307-932C-E2215121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1F7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1F7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rsid w:val="00E21F7E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2022-10-08T15:55:00Z</dcterms:created>
  <dcterms:modified xsi:type="dcterms:W3CDTF">2022-10-08T16:01:00Z</dcterms:modified>
</cp:coreProperties>
</file>