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5F1BC6">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FF648C">
        <w:rPr>
          <w:lang w:val="uz-Cyrl-UZ"/>
        </w:rPr>
        <w:t>Р.Туракулов</w:t>
      </w:r>
      <w:r w:rsidR="00626472" w:rsidRPr="00544DF4">
        <w:rPr>
          <w:lang w:val="uz-Cyrl-UZ"/>
        </w:rPr>
        <w:t>,  ва</w:t>
      </w:r>
      <w:r w:rsidR="00FF648C">
        <w:rPr>
          <w:lang w:val="uz-Cyrl-UZ"/>
        </w:rPr>
        <w:t xml:space="preserve"> </w:t>
      </w:r>
      <w:r w:rsidR="00AE0CB1">
        <w:rPr>
          <w:lang w:val="uz-Cyrl-UZ"/>
        </w:rPr>
        <w:t>____________________________________________________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FF648C" w:rsidRPr="00FF648C">
        <w:rPr>
          <w:lang w:val="uz-Cyrl-UZ"/>
        </w:rPr>
        <w:t>жамият</w:t>
      </w:r>
      <w:r w:rsidR="006C64CA" w:rsidRPr="00544DF4">
        <w:rPr>
          <w:lang w:val="uz-Cyrl-UZ"/>
        </w:rPr>
        <w:t xml:space="preserve"> раиси </w:t>
      </w:r>
      <w:r w:rsidR="00FF648C">
        <w:rPr>
          <w:lang w:val="uz-Cyrl-UZ"/>
        </w:rPr>
        <w:t>Д.Ризаев</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bookmarkStart w:id="0" w:name="_GoBack"/>
      <w:bookmarkEnd w:id="0"/>
    </w:p>
    <w:p w:rsidR="00F46163" w:rsidRPr="00F46163" w:rsidRDefault="00626472" w:rsidP="00F46163">
      <w:pPr>
        <w:jc w:val="both"/>
        <w:rPr>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AE0CB1" w:rsidRPr="00AE0CB1">
        <w:rPr>
          <w:lang w:val="uz-Cyrl-UZ"/>
        </w:rPr>
        <w:t>Тюбегатан калий туз конининг шимолий кисмини ўзлаш-ш лойиҳаси учун атроф муҳитга таъсирини баҳолаш жараёнининг якуний босқичи -Экологик оқибатлар тўғрисидаги баенот (ЗЕП) лойиха хужжатини ишлаб чиқиш</w:t>
      </w:r>
      <w:r w:rsidR="00F46163">
        <w:rPr>
          <w:lang w:val="uz-Cyrl-UZ"/>
        </w:rPr>
        <w:t>.</w:t>
      </w:r>
    </w:p>
    <w:p w:rsidR="006547AD" w:rsidRDefault="005158C5" w:rsidP="00F46163">
      <w:pPr>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53229F">
        <w:rPr>
          <w:lang w:val="uz-Cyrl-UZ"/>
        </w:rPr>
        <w:t>давомийлиги</w:t>
      </w:r>
      <w:r w:rsidR="00AE0CB1">
        <w:rPr>
          <w:lang w:val="uz-Cyrl-UZ"/>
        </w:rPr>
        <w:t xml:space="preserve"> шарнтома тузилган кундан бошлаб 10 кун</w:t>
      </w:r>
      <w:r w:rsidR="006547AD">
        <w:rPr>
          <w:lang w:val="uz-Cyrl-UZ"/>
        </w:rPr>
        <w:t>.</w:t>
      </w:r>
      <w:r w:rsidR="00F368FA" w:rsidRPr="00F368FA">
        <w:rPr>
          <w:lang w:val="uz-Cyrl-UZ"/>
        </w:rPr>
        <w:t xml:space="preserve">  </w:t>
      </w:r>
      <w:r w:rsidR="00401420" w:rsidRPr="00544DF4">
        <w:rPr>
          <w:lang w:val="uz-Cyrl-UZ"/>
        </w:rPr>
        <w:t xml:space="preserve"> </w:t>
      </w:r>
    </w:p>
    <w:p w:rsidR="00626472" w:rsidRPr="00544DF4" w:rsidRDefault="006547AD" w:rsidP="00F46163">
      <w:pPr>
        <w:jc w:val="both"/>
        <w:rPr>
          <w:lang w:val="uz-Cyrl-UZ"/>
        </w:rPr>
      </w:pPr>
      <w:r>
        <w:rPr>
          <w:lang w:val="uz-Cyrl-UZ"/>
        </w:rPr>
        <w:t>1.4.</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671ABE">
        <w:rPr>
          <w:lang w:val="uz-Cyrl-UZ"/>
        </w:rPr>
        <w:t xml:space="preserve"> бажаргандан сўнг тўлов амалга оширилади. Бажарувчи хизматларни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71ABE">
      <w:pPr>
        <w:tabs>
          <w:tab w:val="left" w:pos="1440"/>
        </w:tabs>
        <w:spacing w:before="60" w:line="276" w:lineRule="auto"/>
        <w:jc w:val="both"/>
        <w:rPr>
          <w:lang w:val="uz-Cyrl-UZ"/>
        </w:rPr>
      </w:pPr>
      <w:r w:rsidRPr="00544DF4">
        <w:rPr>
          <w:lang w:val="uz-Cyrl-UZ"/>
        </w:rPr>
        <w:t xml:space="preserve"> </w:t>
      </w:r>
      <w:r w:rsidR="00F46163">
        <w:rPr>
          <w:lang w:val="uz-Cyrl-UZ"/>
        </w:rPr>
        <w:t>1.</w:t>
      </w:r>
      <w:r w:rsidR="006547AD">
        <w:rPr>
          <w:lang w:val="uz-Cyrl-UZ"/>
        </w:rPr>
        <w:t>5</w:t>
      </w:r>
      <w:r w:rsidR="00F46163">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F46163">
        <w:t>3</w:t>
      </w:r>
      <w:r w:rsidRPr="00544DF4">
        <w:t xml:space="preserve">-бандда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w:t>
      </w:r>
      <w:r w:rsidR="00804F07">
        <w:rPr>
          <w:lang w:val="uz-Cyrl-UZ"/>
        </w:rPr>
        <w:t xml:space="preserve">узоқ муддатга </w:t>
      </w:r>
      <w:r w:rsidRPr="00544DF4">
        <w:rPr>
          <w:lang w:val="uz-Cyrl-UZ"/>
        </w:rPr>
        <w:t xml:space="preserve">кафолат бериш. </w:t>
      </w:r>
    </w:p>
    <w:p w:rsidR="00806C9F" w:rsidRPr="006547AD" w:rsidRDefault="00806C9F" w:rsidP="00806C9F">
      <w:pPr>
        <w:tabs>
          <w:tab w:val="left" w:pos="1440"/>
        </w:tabs>
        <w:spacing w:before="60" w:line="276" w:lineRule="auto"/>
        <w:jc w:val="both"/>
      </w:pPr>
      <w:r w:rsidRPr="006547AD">
        <w:t>2.1.</w:t>
      </w:r>
      <w:r w:rsidR="00AE0CB1">
        <w:t>6</w:t>
      </w:r>
      <w:r w:rsidRPr="006547AD">
        <w:t xml:space="preserve"> </w:t>
      </w:r>
      <w:proofErr w:type="spellStart"/>
      <w:r w:rsidRPr="006547AD">
        <w:t>Хизматларни</w:t>
      </w:r>
      <w:proofErr w:type="spellEnd"/>
      <w:r w:rsidRPr="006547AD">
        <w:t xml:space="preserve"> </w:t>
      </w:r>
      <w:proofErr w:type="spellStart"/>
      <w:r w:rsidRPr="006547AD">
        <w:t>бажариш</w:t>
      </w:r>
      <w:proofErr w:type="spellEnd"/>
      <w:r w:rsidRPr="006547AD">
        <w:t xml:space="preserve"> </w:t>
      </w:r>
      <w:proofErr w:type="spellStart"/>
      <w:r w:rsidRPr="006547AD">
        <w:t>бажарувчи</w:t>
      </w:r>
      <w:proofErr w:type="spellEnd"/>
      <w:r w:rsidRPr="006547AD">
        <w:t xml:space="preserve"> </w:t>
      </w:r>
      <w:proofErr w:type="spellStart"/>
      <w:r w:rsidR="00FF648C" w:rsidRPr="006547AD">
        <w:t>худудида</w:t>
      </w:r>
      <w:proofErr w:type="spellEnd"/>
      <w:r w:rsidRPr="006547AD">
        <w:t xml:space="preserve"> амалга оширилади.</w:t>
      </w:r>
    </w:p>
    <w:p w:rsidR="001C71A2" w:rsidRPr="006547AD" w:rsidRDefault="001C71A2" w:rsidP="00806C9F">
      <w:pPr>
        <w:tabs>
          <w:tab w:val="left" w:pos="1440"/>
        </w:tabs>
        <w:spacing w:before="60" w:line="276" w:lineRule="auto"/>
        <w:jc w:val="both"/>
      </w:pPr>
      <w:r w:rsidRPr="006547AD">
        <w:t>2.1.</w:t>
      </w:r>
      <w:r w:rsidR="00AE0CB1">
        <w:t>7</w:t>
      </w:r>
      <w:r w:rsidRPr="006547AD">
        <w:t>. Ишларни бажариш учун малакали мутахассисларга эга б</w:t>
      </w:r>
      <w:r w:rsidR="00F46163" w:rsidRPr="006547AD">
        <w:t>ў</w:t>
      </w:r>
      <w:r w:rsidRPr="006547AD">
        <w:t xml:space="preserve">лиши шарт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2.2.</w:t>
      </w:r>
      <w:r w:rsidR="00671ABE">
        <w:rPr>
          <w:lang w:val="uz-Cyrl-UZ"/>
        </w:rPr>
        <w:t>1</w:t>
      </w:r>
      <w:r w:rsidRPr="00544DF4">
        <w:rPr>
          <w:lang w:val="uz-Cyrl-UZ"/>
        </w:rPr>
        <w:t xml:space="preserve">. </w:t>
      </w:r>
      <w:r w:rsidR="00671ABE">
        <w:rPr>
          <w:lang w:val="uz-Cyrl-UZ"/>
        </w:rPr>
        <w:t xml:space="preserve">Хизматларни бажариш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671ABE">
        <w:rPr>
          <w:lang w:val="uz-Cyrl-UZ"/>
        </w:rPr>
        <w:t>ни</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 xml:space="preserve">биноан, </w:t>
      </w:r>
      <w:r w:rsidR="00671ABE">
        <w:rPr>
          <w:lang w:val="uz-Cyrl-UZ"/>
        </w:rPr>
        <w:t xml:space="preserve">хизматларни бажаришда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AE0CB1">
        <w:rPr>
          <w:b/>
          <w:lang w:val="uz-Cyrl-UZ"/>
        </w:rPr>
        <w:t>55</w:t>
      </w:r>
      <w:r w:rsidR="00FF648C">
        <w:rPr>
          <w:b/>
          <w:lang w:val="uz-Cyrl-UZ"/>
        </w:rPr>
        <w:t> </w:t>
      </w:r>
      <w:r w:rsidR="00AE0CB1">
        <w:rPr>
          <w:b/>
          <w:lang w:val="uz-Cyrl-UZ"/>
        </w:rPr>
        <w:t>000</w:t>
      </w:r>
      <w:r w:rsidR="00FF648C">
        <w:rPr>
          <w:b/>
          <w:lang w:val="uz-Cyrl-UZ"/>
        </w:rPr>
        <w:t> </w:t>
      </w:r>
      <w:r w:rsidR="00AE0CB1">
        <w:rPr>
          <w:b/>
          <w:lang w:val="uz-Cyrl-UZ"/>
        </w:rPr>
        <w:t>000</w:t>
      </w:r>
      <w:r w:rsidR="00FF648C">
        <w:rPr>
          <w:b/>
          <w:lang w:val="uz-Cyrl-UZ"/>
        </w:rPr>
        <w:t>,</w:t>
      </w:r>
      <w:r w:rsidR="00AE0CB1">
        <w:rPr>
          <w:b/>
          <w:lang w:val="uz-Cyrl-UZ"/>
        </w:rPr>
        <w:t>0</w:t>
      </w:r>
      <w:r w:rsidR="00FF648C">
        <w:rPr>
          <w:b/>
          <w:lang w:val="uz-Cyrl-UZ"/>
        </w:rPr>
        <w:t xml:space="preserve">0 </w:t>
      </w:r>
      <w:r w:rsidR="00DD7FEA" w:rsidRPr="00544DF4">
        <w:rPr>
          <w:b/>
          <w:lang w:val="uz-Cyrl-UZ"/>
        </w:rPr>
        <w:t xml:space="preserve"> (</w:t>
      </w:r>
      <w:proofErr w:type="spellStart"/>
      <w:r w:rsidR="00AE0CB1">
        <w:rPr>
          <w:b/>
        </w:rPr>
        <w:t>Эллик</w:t>
      </w:r>
      <w:proofErr w:type="spellEnd"/>
      <w:r w:rsidR="00AE0CB1">
        <w:rPr>
          <w:b/>
        </w:rPr>
        <w:t xml:space="preserve"> </w:t>
      </w:r>
      <w:proofErr w:type="spellStart"/>
      <w:r w:rsidR="00AE0CB1">
        <w:rPr>
          <w:b/>
        </w:rPr>
        <w:t>беш</w:t>
      </w:r>
      <w:proofErr w:type="spellEnd"/>
      <w:r w:rsidR="00FF648C">
        <w:rPr>
          <w:b/>
        </w:rPr>
        <w:t xml:space="preserve"> миллион</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AE0CB1">
        <w:rPr>
          <w:lang w:val="uz-Cyrl-UZ"/>
        </w:rPr>
        <w:t>ҚҚС</w:t>
      </w:r>
      <w:r w:rsidR="00AE0CB1">
        <w:rPr>
          <w:lang w:val="uz-Cyrl-UZ"/>
        </w:rPr>
        <w:t xml:space="preserve"> </w:t>
      </w:r>
      <w:r w:rsidR="00AE0CB1" w:rsidRPr="00AE0CB1">
        <w:rPr>
          <w:lang w:val="uz-Cyrl-UZ"/>
        </w:rPr>
        <w:t>сиз</w:t>
      </w:r>
      <w:r w:rsidR="00F368FA">
        <w:rPr>
          <w:b/>
          <w:lang w:val="uz-Cyrl-UZ"/>
        </w:rPr>
        <w:t>.</w:t>
      </w:r>
    </w:p>
    <w:p w:rsidR="00671ABE" w:rsidRDefault="00626472" w:rsidP="006C64CA">
      <w:pPr>
        <w:tabs>
          <w:tab w:val="left" w:pos="1440"/>
        </w:tabs>
        <w:spacing w:before="60" w:line="276" w:lineRule="auto"/>
        <w:jc w:val="both"/>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w:t>
      </w:r>
    </w:p>
    <w:p w:rsidR="00626472" w:rsidRPr="00544DF4" w:rsidRDefault="00671ABE" w:rsidP="006C64CA">
      <w:pPr>
        <w:tabs>
          <w:tab w:val="left" w:pos="1440"/>
        </w:tabs>
        <w:spacing w:before="60" w:line="276" w:lineRule="auto"/>
        <w:jc w:val="both"/>
        <w:rPr>
          <w:lang w:val="uz-Cyrl-UZ"/>
        </w:rPr>
      </w:pPr>
      <w:r w:rsidRPr="00544DF4">
        <w:rPr>
          <w:lang w:val="uz-Cyrl-UZ"/>
        </w:rPr>
        <w:t xml:space="preserve"> </w:t>
      </w:r>
      <w:r w:rsidR="00626472" w:rsidRPr="00544DF4">
        <w:rPr>
          <w:lang w:val="uz-Cyrl-UZ"/>
        </w:rPr>
        <w:t>4. Хизматларни (ишларни) етказиб</w:t>
      </w:r>
      <w:r w:rsidR="00DD7FEA" w:rsidRPr="00544DF4">
        <w:rPr>
          <w:lang w:val="uz-Cyrl-UZ"/>
        </w:rPr>
        <w:t xml:space="preserve"> </w:t>
      </w:r>
      <w:r w:rsidR="00626472" w:rsidRPr="00544DF4">
        <w:rPr>
          <w:lang w:val="uz-Cyrl-UZ"/>
        </w:rPr>
        <w:t>бериш</w:t>
      </w:r>
      <w:r w:rsidR="00DD7FEA" w:rsidRPr="00544DF4">
        <w:rPr>
          <w:lang w:val="uz-Cyrl-UZ"/>
        </w:rPr>
        <w:t xml:space="preserve"> </w:t>
      </w:r>
      <w:r w:rsidR="00626472" w:rsidRPr="00544DF4">
        <w:rPr>
          <w:lang w:val="uz-Cyrl-UZ"/>
        </w:rPr>
        <w:t>ва</w:t>
      </w:r>
      <w:r w:rsidR="00DD7FEA" w:rsidRPr="00544DF4">
        <w:rPr>
          <w:lang w:val="uz-Cyrl-UZ"/>
        </w:rPr>
        <w:t xml:space="preserve"> </w:t>
      </w:r>
      <w:r w:rsidR="00626472" w:rsidRPr="00544DF4">
        <w:rPr>
          <w:lang w:val="uz-Cyrl-UZ"/>
        </w:rPr>
        <w:t>қабул</w:t>
      </w:r>
      <w:r w:rsidR="00DD7FEA" w:rsidRPr="00544DF4">
        <w:rPr>
          <w:lang w:val="uz-Cyrl-UZ"/>
        </w:rPr>
        <w:t xml:space="preserve"> </w:t>
      </w:r>
      <w:r w:rsidR="00626472" w:rsidRPr="00544DF4">
        <w:rPr>
          <w:lang w:val="uz-Cyrl-UZ"/>
        </w:rPr>
        <w:t>қилиш</w:t>
      </w:r>
      <w:r w:rsidR="00DD7FEA" w:rsidRPr="00544DF4">
        <w:rPr>
          <w:lang w:val="uz-Cyrl-UZ"/>
        </w:rPr>
        <w:t xml:space="preserve"> </w:t>
      </w:r>
      <w:r w:rsidR="00626472"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AE0CB1" w:rsidRDefault="00AE0CB1" w:rsidP="006C64CA">
      <w:pPr>
        <w:tabs>
          <w:tab w:val="left" w:pos="1440"/>
        </w:tabs>
        <w:spacing w:before="60" w:line="276" w:lineRule="auto"/>
        <w:jc w:val="center"/>
        <w:rPr>
          <w:b/>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lastRenderedPageBreak/>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EA7089"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5F1BC6">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6547AD" w:rsidRDefault="00B41003" w:rsidP="006C64CA">
            <w:pPr>
              <w:tabs>
                <w:tab w:val="left" w:pos="1440"/>
              </w:tabs>
              <w:spacing w:before="60" w:line="276" w:lineRule="auto"/>
              <w:jc w:val="both"/>
              <w:rPr>
                <w:b/>
                <w:lang w:val="en-US"/>
              </w:rPr>
            </w:pPr>
            <w:r w:rsidRPr="00544DF4">
              <w:rPr>
                <w:b/>
              </w:rPr>
              <w:t>БАЖАРУВЧИ</w:t>
            </w:r>
            <w:r w:rsidR="00ED6042" w:rsidRPr="006547AD">
              <w:rPr>
                <w:b/>
                <w:lang w:val="en-US"/>
              </w:rPr>
              <w:tab/>
            </w:r>
          </w:p>
          <w:p w:rsidR="00EA7089" w:rsidRPr="00EA7089" w:rsidRDefault="00EA7089" w:rsidP="00AE0CB1">
            <w:pPr>
              <w:tabs>
                <w:tab w:val="left" w:pos="1440"/>
              </w:tabs>
              <w:spacing w:before="60" w:line="276" w:lineRule="auto"/>
              <w:rPr>
                <w:sz w:val="20"/>
                <w:szCs w:val="20"/>
                <w:lang w:val="uz-Cyrl-UZ"/>
              </w:rPr>
            </w:pPr>
          </w:p>
        </w:tc>
      </w:tr>
    </w:tbl>
    <w:p w:rsidR="00626472" w:rsidRPr="00EA7089" w:rsidRDefault="00626472" w:rsidP="006C64CA">
      <w:pPr>
        <w:tabs>
          <w:tab w:val="left" w:pos="1440"/>
        </w:tabs>
        <w:spacing w:before="60" w:line="276" w:lineRule="auto"/>
        <w:jc w:val="both"/>
        <w:rPr>
          <w:lang w:val="uz-Cyrl-UZ"/>
        </w:rPr>
      </w:pPr>
    </w:p>
    <w:p w:rsidR="00626472" w:rsidRPr="00EA7089" w:rsidRDefault="00626472" w:rsidP="006C64CA">
      <w:pPr>
        <w:tabs>
          <w:tab w:val="left" w:pos="1440"/>
        </w:tabs>
        <w:spacing w:before="60" w:line="276" w:lineRule="auto"/>
        <w:jc w:val="both"/>
        <w:rPr>
          <w:lang w:val="uz-Cyrl-UZ"/>
        </w:rPr>
      </w:pPr>
      <w:r w:rsidRPr="00EA7089">
        <w:rPr>
          <w:lang w:val="uz-Cyrl-UZ"/>
        </w:rPr>
        <w:tab/>
      </w:r>
    </w:p>
    <w:p w:rsidR="00626472" w:rsidRPr="00EA7089" w:rsidRDefault="00626472" w:rsidP="006C64CA">
      <w:pPr>
        <w:tabs>
          <w:tab w:val="left" w:pos="1440"/>
        </w:tabs>
        <w:spacing w:before="60" w:line="276" w:lineRule="auto"/>
        <w:jc w:val="both"/>
        <w:rPr>
          <w:lang w:val="uz-Cyrl-UZ"/>
        </w:rPr>
      </w:pPr>
    </w:p>
    <w:sectPr w:rsidR="00626472" w:rsidRPr="00EA7089"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97D0D"/>
    <w:rsid w:val="000E6B71"/>
    <w:rsid w:val="000F6304"/>
    <w:rsid w:val="00103798"/>
    <w:rsid w:val="001139F0"/>
    <w:rsid w:val="00130BBC"/>
    <w:rsid w:val="00150120"/>
    <w:rsid w:val="00157AC1"/>
    <w:rsid w:val="001707C9"/>
    <w:rsid w:val="00172C31"/>
    <w:rsid w:val="00181DCE"/>
    <w:rsid w:val="001A3BC4"/>
    <w:rsid w:val="001C71A2"/>
    <w:rsid w:val="001E50FA"/>
    <w:rsid w:val="002027D2"/>
    <w:rsid w:val="002204C6"/>
    <w:rsid w:val="002824D9"/>
    <w:rsid w:val="002C762C"/>
    <w:rsid w:val="00304C1C"/>
    <w:rsid w:val="0030526C"/>
    <w:rsid w:val="003116EF"/>
    <w:rsid w:val="00326C3A"/>
    <w:rsid w:val="00330A85"/>
    <w:rsid w:val="00344631"/>
    <w:rsid w:val="00386DB9"/>
    <w:rsid w:val="003E26D4"/>
    <w:rsid w:val="003E51E3"/>
    <w:rsid w:val="00401420"/>
    <w:rsid w:val="00401886"/>
    <w:rsid w:val="005158C5"/>
    <w:rsid w:val="0053229F"/>
    <w:rsid w:val="00544DF4"/>
    <w:rsid w:val="005A1C95"/>
    <w:rsid w:val="005A2981"/>
    <w:rsid w:val="005B5B64"/>
    <w:rsid w:val="005B6645"/>
    <w:rsid w:val="005C006A"/>
    <w:rsid w:val="005C15E0"/>
    <w:rsid w:val="005D5951"/>
    <w:rsid w:val="005F1BC6"/>
    <w:rsid w:val="005F6760"/>
    <w:rsid w:val="005F6D84"/>
    <w:rsid w:val="00601820"/>
    <w:rsid w:val="006211A1"/>
    <w:rsid w:val="00626472"/>
    <w:rsid w:val="00640B40"/>
    <w:rsid w:val="006547AD"/>
    <w:rsid w:val="00671ABE"/>
    <w:rsid w:val="00686A48"/>
    <w:rsid w:val="006A4FED"/>
    <w:rsid w:val="006C64CA"/>
    <w:rsid w:val="006F5EFF"/>
    <w:rsid w:val="00700BC6"/>
    <w:rsid w:val="007201D8"/>
    <w:rsid w:val="007340B4"/>
    <w:rsid w:val="0075426D"/>
    <w:rsid w:val="00784392"/>
    <w:rsid w:val="007D39F1"/>
    <w:rsid w:val="007F1532"/>
    <w:rsid w:val="007F1B21"/>
    <w:rsid w:val="00804F07"/>
    <w:rsid w:val="00806C9F"/>
    <w:rsid w:val="008337CA"/>
    <w:rsid w:val="00846F21"/>
    <w:rsid w:val="008A41CF"/>
    <w:rsid w:val="008C1D81"/>
    <w:rsid w:val="008E44C6"/>
    <w:rsid w:val="008F1F49"/>
    <w:rsid w:val="00922064"/>
    <w:rsid w:val="009457A4"/>
    <w:rsid w:val="009808B0"/>
    <w:rsid w:val="00993758"/>
    <w:rsid w:val="009F17AD"/>
    <w:rsid w:val="00A15417"/>
    <w:rsid w:val="00A63412"/>
    <w:rsid w:val="00AE0CB1"/>
    <w:rsid w:val="00AF4166"/>
    <w:rsid w:val="00B00152"/>
    <w:rsid w:val="00B01282"/>
    <w:rsid w:val="00B06778"/>
    <w:rsid w:val="00B41003"/>
    <w:rsid w:val="00B925C4"/>
    <w:rsid w:val="00C4690E"/>
    <w:rsid w:val="00C868BA"/>
    <w:rsid w:val="00CA1D9E"/>
    <w:rsid w:val="00D12D5B"/>
    <w:rsid w:val="00D25B9F"/>
    <w:rsid w:val="00DD3A86"/>
    <w:rsid w:val="00DD7FEA"/>
    <w:rsid w:val="00E812E6"/>
    <w:rsid w:val="00E85EE6"/>
    <w:rsid w:val="00E85FAB"/>
    <w:rsid w:val="00EA7089"/>
    <w:rsid w:val="00EB3A58"/>
    <w:rsid w:val="00ED3F04"/>
    <w:rsid w:val="00ED6042"/>
    <w:rsid w:val="00EE5D8E"/>
    <w:rsid w:val="00F27110"/>
    <w:rsid w:val="00F35DDF"/>
    <w:rsid w:val="00F368FA"/>
    <w:rsid w:val="00F46163"/>
    <w:rsid w:val="00F67051"/>
    <w:rsid w:val="00F91048"/>
    <w:rsid w:val="00FB3243"/>
    <w:rsid w:val="00FC2F83"/>
    <w:rsid w:val="00FE6B6B"/>
    <w:rsid w:val="00FF64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5914"/>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 w:type="paragraph" w:styleId="a5">
    <w:name w:val="Balloon Text"/>
    <w:basedOn w:val="a"/>
    <w:link w:val="a6"/>
    <w:uiPriority w:val="99"/>
    <w:semiHidden/>
    <w:unhideWhenUsed/>
    <w:rsid w:val="0053229F"/>
    <w:rPr>
      <w:rFonts w:ascii="Segoe UI" w:hAnsi="Segoe UI" w:cs="Segoe UI"/>
      <w:sz w:val="18"/>
      <w:szCs w:val="18"/>
    </w:rPr>
  </w:style>
  <w:style w:type="character" w:customStyle="1" w:styleId="a6">
    <w:name w:val="Текст выноски Знак"/>
    <w:basedOn w:val="a0"/>
    <w:link w:val="a5"/>
    <w:uiPriority w:val="99"/>
    <w:semiHidden/>
    <w:rsid w:val="0053229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8122C-262D-4DE4-AA97-60DC76D7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4</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80</cp:revision>
  <cp:lastPrinted>2022-10-03T05:11:00Z</cp:lastPrinted>
  <dcterms:created xsi:type="dcterms:W3CDTF">2020-07-17T13:07:00Z</dcterms:created>
  <dcterms:modified xsi:type="dcterms:W3CDTF">2022-10-03T12:51:00Z</dcterms:modified>
</cp:coreProperties>
</file>