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1160"/>
        <w:gridCol w:w="1071"/>
        <w:gridCol w:w="1005"/>
        <w:gridCol w:w="755"/>
        <w:gridCol w:w="893"/>
        <w:gridCol w:w="815"/>
        <w:gridCol w:w="826"/>
        <w:gridCol w:w="1057"/>
        <w:gridCol w:w="906"/>
        <w:gridCol w:w="867"/>
      </w:tblGrid>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bookmarkStart w:id="0" w:name="_GoBack"/>
            <w:bookmarkEnd w:id="0"/>
            <w:r>
              <w:rPr>
                <w:rStyle w:val="a3"/>
                <w:color w:val="000000"/>
                <w:sz w:val="20"/>
                <w:szCs w:val="20"/>
              </w:rPr>
              <w:t>Аутсорсинг шартлари асосида хизматларни кўрсатиш бўйича</w:t>
            </w:r>
            <w:r>
              <w:rPr>
                <w:b/>
                <w:bCs/>
                <w:color w:val="000000"/>
                <w:sz w:val="20"/>
                <w:szCs w:val="20"/>
              </w:rPr>
              <w:br/>
            </w:r>
            <w:r>
              <w:rPr>
                <w:rStyle w:val="a3"/>
                <w:color w:val="000000"/>
                <w:sz w:val="20"/>
                <w:szCs w:val="20"/>
              </w:rPr>
              <w:t>НАМУНАВИЙ ШАРТНОМА</w:t>
            </w:r>
          </w:p>
        </w:tc>
      </w:tr>
      <w:tr w:rsidR="00364E65" w:rsidTr="00B71CE6">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_______ шаҳри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20___ йил «___» _______</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both"/>
              <w:rPr>
                <w:color w:val="000000"/>
              </w:rPr>
            </w:pPr>
            <w:r>
              <w:rPr>
                <w:color w:val="000000"/>
                <w:sz w:val="20"/>
                <w:szCs w:val="20"/>
                <w:lang w:val="uz-Cyrl-UZ"/>
              </w:rPr>
              <w:t xml:space="preserve">_____________________________________ номидан Низом асосида фаолият юритувчи </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roofErr w:type="gramStart"/>
            <w:r>
              <w:rPr>
                <w:color w:val="000000"/>
                <w:sz w:val="20"/>
                <w:szCs w:val="20"/>
              </w:rPr>
              <w:t>муассаса</w:t>
            </w:r>
            <w:proofErr w:type="gramEnd"/>
            <w:r>
              <w:rPr>
                <w:color w:val="000000"/>
                <w:sz w:val="20"/>
                <w:szCs w:val="20"/>
              </w:rPr>
              <w:t xml:space="preserve">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__________________________________ (кейинги ўринларда Буюртмачи деб аталади)</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roofErr w:type="gramStart"/>
            <w:r>
              <w:rPr>
                <w:rFonts w:eastAsia="Times New Roman"/>
                <w:color w:val="000000"/>
                <w:sz w:val="20"/>
                <w:szCs w:val="20"/>
              </w:rPr>
              <w:t>бир</w:t>
            </w:r>
            <w:proofErr w:type="gramEnd"/>
            <w:r>
              <w:rPr>
                <w:rFonts w:eastAsia="Times New Roman"/>
                <w:color w:val="000000"/>
                <w:sz w:val="20"/>
                <w:szCs w:val="20"/>
              </w:rPr>
              <w:t xml:space="preserve"> томондан ва ____________________________ номидан Устав (ишончнома) асосида</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roofErr w:type="gramStart"/>
            <w:r>
              <w:rPr>
                <w:color w:val="000000"/>
                <w:sz w:val="20"/>
                <w:szCs w:val="20"/>
              </w:rPr>
              <w:t>ташкилот</w:t>
            </w:r>
            <w:proofErr w:type="gramEnd"/>
            <w:r>
              <w:rPr>
                <w:color w:val="000000"/>
                <w:sz w:val="20"/>
                <w:szCs w:val="20"/>
              </w:rPr>
              <w:t xml:space="preserve">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roofErr w:type="gramStart"/>
            <w:r>
              <w:rPr>
                <w:rFonts w:eastAsia="Times New Roman"/>
                <w:color w:val="000000"/>
                <w:sz w:val="20"/>
                <w:szCs w:val="20"/>
              </w:rPr>
              <w:t>фаолият</w:t>
            </w:r>
            <w:proofErr w:type="gramEnd"/>
            <w:r>
              <w:rPr>
                <w:rFonts w:eastAsia="Times New Roman"/>
                <w:color w:val="000000"/>
                <w:sz w:val="20"/>
                <w:szCs w:val="20"/>
              </w:rPr>
              <w:t xml:space="preserve"> юритувчи директор ________________________________ (кейинги ўринларда</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I. Шартнома предмети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roofErr w:type="gramStart"/>
            <w:r>
              <w:rPr>
                <w:color w:val="000000"/>
                <w:sz w:val="20"/>
                <w:szCs w:val="20"/>
              </w:rPr>
              <w:t>аутсорсерга</w:t>
            </w:r>
            <w:proofErr w:type="gramEnd"/>
            <w:r>
              <w:rPr>
                <w:color w:val="000000"/>
                <w:sz w:val="20"/>
                <w:szCs w:val="20"/>
              </w:rPr>
              <w:t xml:space="preserve"> ўтказилган хизмат номи)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roofErr w:type="gramStart"/>
            <w:r>
              <w:rPr>
                <w:rFonts w:eastAsia="Times New Roman"/>
                <w:color w:val="000000"/>
                <w:sz w:val="20"/>
                <w:szCs w:val="20"/>
              </w:rPr>
              <w:t>ҳамда</w:t>
            </w:r>
            <w:proofErr w:type="gramEnd"/>
            <w:r>
              <w:rPr>
                <w:rFonts w:eastAsia="Times New Roman"/>
                <w:color w:val="000000"/>
                <w:sz w:val="20"/>
                <w:szCs w:val="20"/>
              </w:rPr>
              <w:t xml:space="preserve">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364E65" w:rsidTr="00B71CE6">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II. Томонларнинг ҳуқуқ ва мажбуриятлари</w:t>
            </w:r>
          </w:p>
        </w:tc>
      </w:tr>
      <w:tr w:rsidR="00364E65" w:rsidTr="00B71CE6">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2.1.1. Ижарага олинган мол-мулкдан фойдаланиш;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2.1.5. Кўрсатилган хизматлар натижасида фойда олиш;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2.2. Аутсорсер қуйидагиларга мажбур: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2.2.3. Товар (ишлар, </w:t>
            </w:r>
            <w:proofErr w:type="gramStart"/>
            <w:r>
              <w:rPr>
                <w:rFonts w:eastAsia="Times New Roman"/>
                <w:color w:val="000000"/>
                <w:sz w:val="20"/>
                <w:szCs w:val="20"/>
              </w:rPr>
              <w:t>хизматлар)нинг</w:t>
            </w:r>
            <w:proofErr w:type="gramEnd"/>
            <w:r>
              <w:rPr>
                <w:rFonts w:eastAsia="Times New Roman"/>
                <w:color w:val="000000"/>
                <w:sz w:val="20"/>
                <w:szCs w:val="20"/>
              </w:rPr>
              <w:t xml:space="preserve"> сифатли ишлаб чиқарилишини ва буюртмачига етказилишини таъминлаши;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2.2.4. Махфийлик тартибига қатъий риоя қилиши;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2.3. Буюртмачи қуйидаги ҳуқуқларга эга:</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2.3.1. Товарлар (ишлар, хизматлар) сифатли ишлаб чиқарилиши (бажарилиши, </w:t>
            </w:r>
            <w:proofErr w:type="gramStart"/>
            <w:r>
              <w:rPr>
                <w:color w:val="000000"/>
                <w:sz w:val="20"/>
                <w:szCs w:val="20"/>
              </w:rPr>
              <w:t>кўрсатилиши)ни</w:t>
            </w:r>
            <w:proofErr w:type="gramEnd"/>
            <w:r>
              <w:rPr>
                <w:color w:val="000000"/>
                <w:sz w:val="20"/>
                <w:szCs w:val="20"/>
              </w:rPr>
              <w:t xml:space="preserve"> талаб қилиш;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2.3.4. Қонун ҳужжатларига мувофиқ бошқа ҳуқуқлар.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2.4. Буюртмачи қуйидагиларга мажбур: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III. Хизматлар нархи ва ўзаро ҳисоб-китоблар тартиби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roofErr w:type="gramStart"/>
            <w:r>
              <w:rPr>
                <w:color w:val="000000"/>
                <w:sz w:val="20"/>
                <w:szCs w:val="20"/>
              </w:rPr>
              <w:t>сумма</w:t>
            </w:r>
            <w:proofErr w:type="gramEnd"/>
            <w:r>
              <w:rPr>
                <w:color w:val="000000"/>
                <w:sz w:val="20"/>
                <w:szCs w:val="20"/>
              </w:rPr>
              <w:t xml:space="preserve">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roofErr w:type="gramStart"/>
            <w:r>
              <w:rPr>
                <w:rFonts w:eastAsia="Times New Roman"/>
                <w:color w:val="000000"/>
                <w:sz w:val="20"/>
                <w:szCs w:val="20"/>
              </w:rPr>
              <w:t>сўмни</w:t>
            </w:r>
            <w:proofErr w:type="gramEnd"/>
            <w:r>
              <w:rPr>
                <w:rFonts w:eastAsia="Times New Roman"/>
                <w:color w:val="000000"/>
                <w:sz w:val="20"/>
                <w:szCs w:val="20"/>
              </w:rPr>
              <w:t xml:space="preserve"> ташкил этади.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IV. Томонларнинг мажбуриятлари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lastRenderedPageBreak/>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w:t>
            </w:r>
            <w:proofErr w:type="gramStart"/>
            <w:r>
              <w:rPr>
                <w:color w:val="000000"/>
                <w:sz w:val="20"/>
                <w:szCs w:val="20"/>
              </w:rPr>
              <w:t>тўғрисида»ги</w:t>
            </w:r>
            <w:proofErr w:type="gramEnd"/>
            <w:r>
              <w:rPr>
                <w:color w:val="000000"/>
                <w:sz w:val="20"/>
                <w:szCs w:val="20"/>
              </w:rPr>
              <w:t xml:space="preserve"> Ўзбекистон Республикаси </w:t>
            </w:r>
            <w:hyperlink r:id="rId5"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V. Мунозарали вазиятларни ҳал этиш тартиби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VI. Форс-мажор ҳолатлар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VII. Якунловчи қоидалар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VIII. Шартноманинг амал қилиш муддати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IX. Томонларнинг манзили ва банк реквизитлари</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r>
      <w:tr w:rsidR="00364E65" w:rsidTr="00B71CE6">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r>
    </w:tbl>
    <w:p w:rsidR="00364E65" w:rsidRDefault="00364E65" w:rsidP="00364E65">
      <w:pPr>
        <w:shd w:val="clear" w:color="auto" w:fill="FFFFFF"/>
        <w:jc w:val="center"/>
        <w:rPr>
          <w:rFonts w:eastAsia="Times New Roman"/>
          <w:color w:val="000080"/>
          <w:sz w:val="22"/>
          <w:szCs w:val="22"/>
        </w:rPr>
      </w:pPr>
      <w:r>
        <w:rPr>
          <w:rFonts w:eastAsia="Times New Roman"/>
          <w:color w:val="000080"/>
          <w:sz w:val="22"/>
          <w:szCs w:val="22"/>
        </w:rPr>
        <w:t xml:space="preserve">Аутсорсинг шартлари асосида хизматларни кўрсатиш бўйича намунавий </w:t>
      </w:r>
      <w:hyperlink r:id="rId6"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453"/>
        <w:gridCol w:w="1763"/>
        <w:gridCol w:w="943"/>
        <w:gridCol w:w="1088"/>
        <w:gridCol w:w="1088"/>
        <w:gridCol w:w="1488"/>
        <w:gridCol w:w="861"/>
        <w:gridCol w:w="790"/>
        <w:gridCol w:w="861"/>
      </w:tblGrid>
      <w:tr w:rsidR="00364E65" w:rsidTr="00B71CE6">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364E65" w:rsidRDefault="00364E65" w:rsidP="00B71CE6">
            <w:pPr>
              <w:spacing w:after="160"/>
              <w:jc w:val="center"/>
            </w:pPr>
            <w:r>
              <w:rPr>
                <w:b/>
                <w:bCs/>
              </w:rPr>
              <w:t>ШАРТНОМАНИНГ ПРОГНОЗ СУММАСИ</w:t>
            </w: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rPr>
            </w:pPr>
            <w:r>
              <w:rPr>
                <w:rFonts w:eastAsia="Times New Roman"/>
              </w:rPr>
              <w:br w:type="textWrapping" w:clear="all"/>
            </w:r>
          </w:p>
          <w:p w:rsidR="00364E65" w:rsidRDefault="00364E65" w:rsidP="00B71CE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Жами сумма ҚҚС билан</w:t>
            </w: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lastRenderedPageBreak/>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bl>
    <w:p w:rsidR="00364E65" w:rsidRDefault="00364E65" w:rsidP="00364E65">
      <w:pPr>
        <w:shd w:val="clear" w:color="auto" w:fill="FFFFFF"/>
        <w:rPr>
          <w:rFonts w:eastAsia="Times New Roman"/>
        </w:rPr>
      </w:pPr>
    </w:p>
    <w:p w:rsidR="000B7DCB" w:rsidRDefault="000B7DCB"/>
    <w:sectPr w:rsidR="000B7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65"/>
    <w:rsid w:val="000B7DCB"/>
    <w:rsid w:val="00364E65"/>
    <w:rsid w:val="00A03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793F7-9665-4D17-91EB-4369B6DE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E65"/>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4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4701249)" TargetMode="External"/><Relationship Id="rId5" Type="http://schemas.openxmlformats.org/officeDocument/2006/relationships/hyperlink" Target="http://lex.uz/docs/18942" TargetMode="External"/><Relationship Id="rId4" Type="http://schemas.openxmlformats.org/officeDocument/2006/relationships/hyperlink" Target="http://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nilniztur@gmail.com</dc:creator>
  <cp:keywords/>
  <dc:description/>
  <cp:lastModifiedBy>Пользователь Windows</cp:lastModifiedBy>
  <cp:revision>2</cp:revision>
  <dcterms:created xsi:type="dcterms:W3CDTF">2022-01-14T07:46:00Z</dcterms:created>
  <dcterms:modified xsi:type="dcterms:W3CDTF">2022-01-14T07:46:00Z</dcterms:modified>
</cp:coreProperties>
</file>