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504" w:rsidRPr="002327E6" w:rsidRDefault="00305504" w:rsidP="00305504">
      <w:pPr>
        <w:ind w:right="1"/>
        <w:rPr>
          <w:b/>
          <w:sz w:val="22"/>
          <w:szCs w:val="22"/>
          <w:lang w:val="uz-Cyrl-UZ"/>
        </w:rPr>
      </w:pPr>
    </w:p>
    <w:p w:rsidR="00305504" w:rsidRPr="002327E6" w:rsidRDefault="00305504" w:rsidP="00305504">
      <w:pPr>
        <w:ind w:right="1"/>
        <w:rPr>
          <w:b/>
          <w:sz w:val="22"/>
          <w:szCs w:val="22"/>
          <w:lang w:val="uz-Cyrl-UZ"/>
        </w:rPr>
      </w:pPr>
    </w:p>
    <w:p w:rsidR="00305504" w:rsidRPr="002327E6" w:rsidRDefault="00305504" w:rsidP="00305504">
      <w:pPr>
        <w:ind w:left="35" w:right="1" w:firstLine="532"/>
        <w:jc w:val="center"/>
        <w:rPr>
          <w:b/>
          <w:sz w:val="22"/>
          <w:szCs w:val="22"/>
          <w:lang w:val="uz-Cyrl-UZ"/>
        </w:rPr>
      </w:pPr>
    </w:p>
    <w:p w:rsidR="00305504" w:rsidRPr="002327E6" w:rsidRDefault="00305504" w:rsidP="00305504">
      <w:pPr>
        <w:ind w:left="35" w:right="1" w:firstLine="532"/>
        <w:jc w:val="center"/>
        <w:rPr>
          <w:rFonts w:eastAsia="Calibri"/>
          <w:b/>
          <w:sz w:val="22"/>
          <w:szCs w:val="22"/>
          <w:lang w:val="uz-Cyrl-UZ" w:eastAsia="en-US"/>
        </w:rPr>
      </w:pPr>
      <w:r w:rsidRPr="002327E6">
        <w:rPr>
          <w:rFonts w:eastAsia="Calibri"/>
          <w:b/>
          <w:sz w:val="22"/>
          <w:szCs w:val="22"/>
          <w:lang w:val="uz-Cyrl-UZ" w:eastAsia="en-US"/>
        </w:rPr>
        <w:t>______-сонли шартнома</w:t>
      </w:r>
    </w:p>
    <w:p w:rsidR="00305504" w:rsidRPr="002327E6" w:rsidRDefault="00305504" w:rsidP="00305504">
      <w:pPr>
        <w:widowControl/>
        <w:autoSpaceDE/>
        <w:autoSpaceDN/>
        <w:adjustRightInd/>
        <w:spacing w:line="259" w:lineRule="auto"/>
        <w:jc w:val="center"/>
        <w:rPr>
          <w:rFonts w:eastAsia="Calibri"/>
          <w:sz w:val="22"/>
          <w:szCs w:val="22"/>
          <w:lang w:val="uz-Cyrl-UZ" w:eastAsia="en-US"/>
        </w:rPr>
      </w:pPr>
    </w:p>
    <w:p w:rsidR="00305504" w:rsidRPr="002327E6" w:rsidRDefault="00305504" w:rsidP="00305504">
      <w:pPr>
        <w:widowControl/>
        <w:autoSpaceDE/>
        <w:autoSpaceDN/>
        <w:adjustRightInd/>
        <w:spacing w:after="160" w:line="259" w:lineRule="auto"/>
        <w:jc w:val="center"/>
        <w:rPr>
          <w:rFonts w:eastAsia="Calibri"/>
          <w:b/>
          <w:sz w:val="22"/>
          <w:szCs w:val="22"/>
          <w:lang w:val="uz-Cyrl-UZ" w:eastAsia="en-US"/>
        </w:rPr>
      </w:pPr>
      <w:r w:rsidRPr="002327E6">
        <w:rPr>
          <w:rFonts w:eastAsia="Calibri"/>
          <w:sz w:val="22"/>
          <w:szCs w:val="22"/>
          <w:lang w:val="uz-Cyrl-UZ" w:eastAsia="en-US"/>
        </w:rPr>
        <w:t xml:space="preserve">Тошкент шаҳри                                                                                    </w:t>
      </w:r>
      <w:r>
        <w:rPr>
          <w:rFonts w:eastAsia="Calibri"/>
          <w:sz w:val="22"/>
          <w:szCs w:val="22"/>
          <w:lang w:val="uz-Cyrl-UZ" w:eastAsia="en-US"/>
        </w:rPr>
        <w:t xml:space="preserve">           </w:t>
      </w:r>
      <w:r w:rsidRPr="002327E6">
        <w:rPr>
          <w:rFonts w:eastAsia="Calibri"/>
          <w:sz w:val="22"/>
          <w:szCs w:val="22"/>
          <w:lang w:val="uz-Cyrl-UZ" w:eastAsia="en-US"/>
        </w:rPr>
        <w:t>2022 йил “____</w:t>
      </w:r>
      <w:r>
        <w:rPr>
          <w:rFonts w:eastAsia="Calibri"/>
          <w:sz w:val="22"/>
          <w:szCs w:val="22"/>
          <w:lang w:val="uz-Cyrl-UZ" w:eastAsia="en-US"/>
        </w:rPr>
        <w:t>”</w:t>
      </w:r>
      <w:r w:rsidRPr="002327E6">
        <w:rPr>
          <w:rFonts w:eastAsia="Calibri"/>
          <w:sz w:val="22"/>
          <w:szCs w:val="22"/>
          <w:lang w:val="uz-Cyrl-UZ" w:eastAsia="en-US"/>
        </w:rPr>
        <w:t xml:space="preserve">___________ </w:t>
      </w:r>
      <w:r w:rsidRPr="002327E6">
        <w:rPr>
          <w:rFonts w:eastAsia="Calibri"/>
          <w:b/>
          <w:sz w:val="22"/>
          <w:szCs w:val="22"/>
          <w:lang w:val="uz-Cyrl-UZ" w:eastAsia="en-US"/>
        </w:rPr>
        <w:t xml:space="preserve"> </w:t>
      </w:r>
    </w:p>
    <w:p w:rsidR="00305504" w:rsidRPr="002327E6" w:rsidRDefault="00305504" w:rsidP="00305504">
      <w:pPr>
        <w:widowControl/>
        <w:autoSpaceDE/>
        <w:autoSpaceDN/>
        <w:adjustRightInd/>
        <w:spacing w:line="242" w:lineRule="auto"/>
        <w:jc w:val="both"/>
        <w:rPr>
          <w:rFonts w:eastAsia="Calibri"/>
          <w:sz w:val="22"/>
          <w:szCs w:val="22"/>
          <w:lang w:val="uz-Cyrl-UZ" w:eastAsia="en-US"/>
        </w:rPr>
      </w:pPr>
      <w:r w:rsidRPr="002327E6">
        <w:rPr>
          <w:rFonts w:eastAsia="Calibri"/>
          <w:sz w:val="22"/>
          <w:szCs w:val="22"/>
          <w:lang w:val="uz-Cyrl-UZ" w:eastAsia="en-US"/>
        </w:rPr>
        <w:t xml:space="preserve">       </w:t>
      </w:r>
      <w:r w:rsidRPr="002327E6">
        <w:rPr>
          <w:rFonts w:cs="Tahoma"/>
          <w:b/>
          <w:bCs/>
          <w:sz w:val="22"/>
          <w:szCs w:val="22"/>
          <w:lang w:val="uz-Cyrl-UZ"/>
        </w:rPr>
        <w:t xml:space="preserve"> “</w:t>
      </w:r>
      <w:r w:rsidRPr="002327E6">
        <w:rPr>
          <w:rFonts w:cs="Tahoma"/>
          <w:b/>
          <w:bCs/>
          <w:caps/>
          <w:sz w:val="22"/>
          <w:szCs w:val="22"/>
          <w:lang w:val="uz-Cyrl-UZ"/>
        </w:rPr>
        <w:t>_____________________________________________</w:t>
      </w:r>
      <w:r w:rsidRPr="002327E6">
        <w:rPr>
          <w:rFonts w:cs="Tahoma"/>
          <w:b/>
          <w:bCs/>
          <w:spacing w:val="-12"/>
          <w:sz w:val="22"/>
          <w:szCs w:val="22"/>
          <w:lang w:val="uz-Cyrl-UZ"/>
        </w:rPr>
        <w:t xml:space="preserve">” </w:t>
      </w:r>
      <w:r w:rsidRPr="002327E6">
        <w:rPr>
          <w:rFonts w:eastAsia="Calibri"/>
          <w:sz w:val="22"/>
          <w:szCs w:val="22"/>
          <w:lang w:val="uz-Cyrl-UZ" w:eastAsia="en-US"/>
        </w:rPr>
        <w:t>номидан низом асосида иш юритувчи Рахбари _________________________________бир томондан (бундан буён матнда “</w:t>
      </w:r>
      <w:r>
        <w:rPr>
          <w:rFonts w:eastAsia="Calibri"/>
          <w:sz w:val="22"/>
          <w:szCs w:val="22"/>
          <w:lang w:val="uz-Cyrl-UZ" w:eastAsia="en-US"/>
        </w:rPr>
        <w:t>Пудратчи</w:t>
      </w:r>
      <w:r w:rsidRPr="002327E6">
        <w:rPr>
          <w:rFonts w:eastAsia="Calibri"/>
          <w:sz w:val="22"/>
          <w:szCs w:val="22"/>
          <w:lang w:val="uz-Cyrl-UZ" w:eastAsia="en-US"/>
        </w:rPr>
        <w:t>” деб юритилади) ҳамда “Маъмурий-хўжалик хизмати” давлат муассасаси номидан низом асосида иш юритувчи  директор С.Махмудов, иккинчи томондан (бундан буён матнда “Буюртмачи” деб юритилади) қуйидагилар ҳақида мазкур шартномани туздик:</w:t>
      </w: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 ШАРТНОМА ПРЕДМЕТИ</w:t>
      </w:r>
    </w:p>
    <w:p w:rsidR="00305504" w:rsidRPr="00DE015E" w:rsidRDefault="00305504" w:rsidP="00305504">
      <w:pPr>
        <w:widowControl/>
        <w:numPr>
          <w:ilvl w:val="1"/>
          <w:numId w:val="1"/>
        </w:numPr>
        <w:autoSpaceDE/>
        <w:autoSpaceDN/>
        <w:adjustRightInd/>
        <w:spacing w:after="160" w:line="242" w:lineRule="auto"/>
        <w:ind w:left="0" w:firstLine="709"/>
        <w:contextualSpacing/>
        <w:jc w:val="both"/>
        <w:rPr>
          <w:rFonts w:eastAsia="Calibri"/>
          <w:b/>
          <w:sz w:val="22"/>
          <w:szCs w:val="22"/>
          <w:lang w:val="uz-Cyrl-UZ" w:eastAsia="en-US"/>
        </w:rPr>
      </w:pPr>
      <w:r>
        <w:rPr>
          <w:rFonts w:eastAsia="Calibri"/>
          <w:sz w:val="22"/>
          <w:szCs w:val="22"/>
          <w:lang w:val="uz-Cyrl-UZ" w:eastAsia="en-US"/>
        </w:rPr>
        <w:t>“Пудратчи</w:t>
      </w:r>
      <w:r w:rsidRPr="00DE015E">
        <w:rPr>
          <w:rFonts w:eastAsia="Calibri"/>
          <w:sz w:val="22"/>
          <w:szCs w:val="22"/>
          <w:lang w:val="uz-Cyrl-UZ" w:eastAsia="en-US"/>
        </w:rPr>
        <w:t xml:space="preserve">” ушбу Шартнома асасан </w:t>
      </w:r>
      <w:r>
        <w:rPr>
          <w:rFonts w:eastAsia="Calibri"/>
          <w:sz w:val="22"/>
          <w:szCs w:val="22"/>
          <w:lang w:val="uz-Cyrl-UZ" w:eastAsia="en-US"/>
        </w:rPr>
        <w:t xml:space="preserve">Қишлоқ хўжалиги вазирлиги ҳузуридаги Қишлоқ хўжалиги сохасида стратегик ривожлантириш ва тадқиқотлар маркази биносини жорий таъмирлаш </w:t>
      </w:r>
      <w:bookmarkStart w:id="0" w:name="_GoBack"/>
      <w:bookmarkEnd w:id="0"/>
      <w:r w:rsidRPr="00DE015E">
        <w:rPr>
          <w:rFonts w:eastAsia="Calibri"/>
          <w:sz w:val="22"/>
          <w:szCs w:val="22"/>
          <w:lang w:val="uz-Cyrl-UZ" w:eastAsia="en-US"/>
        </w:rPr>
        <w:t xml:space="preserve">мажбуриятини олади, “Буюртмачи” ушбу хизматларни ва товарларни қабул қилиш ва ҳақини тўлаш мажбуриятини олади. </w:t>
      </w:r>
      <w:r w:rsidRPr="00DE015E">
        <w:rPr>
          <w:rFonts w:eastAsia="Calibri"/>
          <w:b/>
          <w:sz w:val="22"/>
          <w:szCs w:val="22"/>
          <w:lang w:val="uz-Cyrl-UZ" w:eastAsia="en-US"/>
        </w:rPr>
        <w:t>II. ТОМОНЛАРНИНГ ҲУҚУКЛАРИ ВА МАЖБУРИЯТЛАРИ</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Буюртмачининг хуқуқлари:</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бажарувчидан техник шартларга лозим даражадаги хизматларни кўрсатишни талаб қилиш;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лозим даражадаги сифатда хизмат кўрсатилмаган тақдирда, ўз хоҳишига кўра қуйидагиларни талаб қилиш: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камчиликларни бепул бартараф этиш ёки Буюртмачининг ёки учинчи шахснинг камчиликларни бартараф этишга доир харажатларини қоплаш;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баҳосини мутаносиб равишда пасайтириш;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шартнома шартларининг бажарилмаганлиги ёки лозим даражада бажарилмаганлиги натижасида етказилган зарарни қоплашни талаб қилиш.</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Буюртмачининг мажбуриятлари:</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шартларига мувофиқ кўрсатилган хизматларни қабул қилиш;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Шартноманинг 3.1 ва 3.2-бандларига мувофиқ кўрсатилган хизматлар учун тўловларни амалга ошириш.</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Pr>
          <w:rFonts w:eastAsia="Calibri"/>
          <w:sz w:val="22"/>
          <w:szCs w:val="22"/>
          <w:lang w:val="uz-Cyrl-UZ" w:eastAsia="en-US"/>
        </w:rPr>
        <w:t>Пудратчи</w:t>
      </w:r>
      <w:r w:rsidRPr="002327E6">
        <w:rPr>
          <w:rFonts w:eastAsia="Calibri"/>
          <w:sz w:val="22"/>
          <w:szCs w:val="22"/>
          <w:lang w:val="uz-Cyrl-UZ" w:eastAsia="en-US"/>
        </w:rPr>
        <w:t>нинг ҳуқуқлари:</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буюртмачидан амалдаги қонунчиликда белгиланган тартибда ва ҳажмда кўрсатилган хизматлар учун олдиндан тўлов ва якуний ҳисоб-китобларни амалга оширишни талаб қилиш;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буюртмачидан бажарилган ишни қабул қилишни асоссиз равишда рад этиш натижасида етказилган зарарни қоплашни талаб қилиш;</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Pr>
          <w:rFonts w:eastAsia="Calibri"/>
          <w:sz w:val="22"/>
          <w:szCs w:val="22"/>
          <w:lang w:val="uz-Cyrl-UZ" w:eastAsia="en-US"/>
        </w:rPr>
        <w:t>Пудратчи</w:t>
      </w:r>
      <w:r w:rsidRPr="002327E6">
        <w:rPr>
          <w:rFonts w:eastAsia="Calibri"/>
          <w:sz w:val="22"/>
          <w:szCs w:val="22"/>
          <w:lang w:val="uz-Cyrl-UZ" w:eastAsia="en-US"/>
        </w:rPr>
        <w:t>нинг мажбуриятлари:</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шартномага мувофиқ ёки Буюртмачининг ушбу шартноманинг 4.8-бандида белгиланган тартибда у томонидан тақдим этилган техник топшириққа биноан хизматларни белгиланган муддат, миқдор ва сифатлар бўйича кўрсатиш;</w:t>
      </w:r>
    </w:p>
    <w:p w:rsidR="00305504" w:rsidRPr="002327E6" w:rsidRDefault="00305504" w:rsidP="00305504">
      <w:pPr>
        <w:widowControl/>
        <w:numPr>
          <w:ilvl w:val="0"/>
          <w:numId w:val="2"/>
        </w:numPr>
        <w:autoSpaceDE/>
        <w:autoSpaceDN/>
        <w:adjustRightInd/>
        <w:spacing w:after="160" w:line="242" w:lineRule="auto"/>
        <w:ind w:left="0" w:firstLine="709"/>
        <w:contextualSpacing/>
        <w:jc w:val="both"/>
        <w:rPr>
          <w:rFonts w:eastAsia="Calibri"/>
          <w:b/>
          <w:sz w:val="22"/>
          <w:szCs w:val="22"/>
          <w:lang w:val="uz-Cyrl-UZ" w:eastAsia="en-US"/>
        </w:rPr>
      </w:pPr>
      <w:r w:rsidRPr="002327E6">
        <w:rPr>
          <w:rFonts w:eastAsia="Calibri"/>
          <w:sz w:val="22"/>
          <w:szCs w:val="22"/>
          <w:lang w:val="uz-Cyrl-UZ" w:eastAsia="en-US"/>
        </w:rPr>
        <w:t>агар хиз</w:t>
      </w:r>
      <w:r>
        <w:rPr>
          <w:rFonts w:eastAsia="Calibri"/>
          <w:sz w:val="22"/>
          <w:szCs w:val="22"/>
          <w:lang w:val="uz-Cyrl-UZ" w:eastAsia="en-US"/>
        </w:rPr>
        <w:t>мат кўрсатиш жараёнида Пудратчи</w:t>
      </w:r>
      <w:r w:rsidRPr="002327E6">
        <w:rPr>
          <w:rFonts w:eastAsia="Calibri"/>
          <w:sz w:val="22"/>
          <w:szCs w:val="22"/>
          <w:lang w:val="uz-Cyrl-UZ" w:eastAsia="en-US"/>
        </w:rPr>
        <w:t xml:space="preserve"> шартнома шартларидан ва техник шартлардан четга чиқса, Буюртмачининг талабига биноан уч кун ичида аниқланган барча камчиликларни бепул бартараф этиш.</w:t>
      </w: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III. ШАРТНОМА БАҲОСИ ВА ХИСОБ-КИТОБ ҚИЛИШ ТАРТИБИ</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657A56" w:rsidRDefault="00305504" w:rsidP="00305504">
      <w:pPr>
        <w:widowControl/>
        <w:numPr>
          <w:ilvl w:val="1"/>
          <w:numId w:val="1"/>
        </w:numPr>
        <w:autoSpaceDE/>
        <w:autoSpaceDN/>
        <w:adjustRightInd/>
        <w:spacing w:after="160" w:line="242" w:lineRule="auto"/>
        <w:contextualSpacing/>
        <w:jc w:val="both"/>
        <w:rPr>
          <w:rFonts w:eastAsia="Calibri"/>
          <w:sz w:val="22"/>
          <w:szCs w:val="22"/>
          <w:lang w:val="uz-Cyrl-UZ" w:eastAsia="en-US"/>
        </w:rPr>
      </w:pPr>
      <w:r w:rsidRPr="00657A56">
        <w:rPr>
          <w:rFonts w:eastAsia="Calibri"/>
          <w:sz w:val="22"/>
          <w:szCs w:val="22"/>
          <w:lang w:val="uz-Cyrl-UZ" w:eastAsia="en-US"/>
        </w:rPr>
        <w:t>Ушбу шартноманинг баҳоси __________________ (_________________________________ ________________________) сўм, ҚҚС билан.</w:t>
      </w:r>
    </w:p>
    <w:p w:rsidR="00305504" w:rsidRPr="002327E6" w:rsidRDefault="00305504" w:rsidP="00305504">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Кўрсатиладиган хизматларнинг баҳоси ушбу шартноманинг иловасида кўрсатилади.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 тақдим этиладиган хизматнинг 30 фоизи миқдорида олдиндан тўловни ам</w:t>
      </w:r>
      <w:r>
        <w:rPr>
          <w:rFonts w:eastAsia="Calibri"/>
          <w:sz w:val="22"/>
          <w:szCs w:val="22"/>
          <w:lang w:val="uz-Cyrl-UZ" w:eastAsia="en-US"/>
        </w:rPr>
        <w:t>алга оширади ва маблағ Пудратчи</w:t>
      </w:r>
      <w:r w:rsidRPr="002327E6">
        <w:rPr>
          <w:rFonts w:eastAsia="Calibri"/>
          <w:sz w:val="22"/>
          <w:szCs w:val="22"/>
          <w:lang w:val="uz-Cyrl-UZ" w:eastAsia="en-US"/>
        </w:rPr>
        <w:t xml:space="preserve">нинг ҳисоб рақамига келиб тушган санадан бошлаб ушбу шартноманинг мажбуриятлари бажарилиши бошланади. </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Кўрсатилган хизматлар учун ҳисоб-китобнинг қолган 70 фоиз қисми бажарилган ишлар тўғрисидаги далолатнома имзоланганидан кейин уч иш куни ичида амалга оширилади.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Хизматлар бўйича ҳисоб-китоблар банк ўтказмаси орқали Бажарувчининг ҳисоб рақамига ўтказиш йўли билан амалга оширилади.</w:t>
      </w: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IV. ШАРТНОМАНИ БАЖАРИШ</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Шартнома шартлари ушбу шартнома ва қонун ҳужжатлари талабларига мувофиқ белгиланган тартибда амалга оширилади.</w:t>
      </w:r>
    </w:p>
    <w:p w:rsidR="00305504" w:rsidRPr="002327E6" w:rsidRDefault="00305504" w:rsidP="00305504">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Агар томонлар ўз зиммаларига олган барча мажбуриятларнинг бажарилишини таъминлаган бўлса, шартнома бажарилган деб ҳисобланади.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lastRenderedPageBreak/>
        <w:t>Шартномани бажаришдан бир томонлама рад этишга ёки шартнома шартларини бир томонлама ўзгартиришга йўл қўйилмайди, қонунчиликда белгиланган ҳоллар бундан мустасно.</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Шартнома бўйича мажбуриятларнинг бажарилиши санаси ҳисобварақ-фактура тузилган кун деб ҳисобланади.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Буюртмачининг розилиги билан хизматлар муддатидан олдин тақдим этилиши мумкин.</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 белгиланган муддатларни бузган ҳолда кўрсатилган хизматни қабул қилишни рад этишга ҳақлидир.</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Белгиланган миқдордан ортиқ битта номдаги хизматни кўрсатиш худди шу техник топшириққа киритилган бошқа номдаги хизматнинг камчиликларини тўлдириш деб ҳисобланмайди, камчиликлар тўлдирилиши лозим, Буюртмачининг олдиндан ёзма розилиги билан амалга ошириладиган ҳолатлар бундан мустасно.</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Кўрсатилаётган хизмат тўғридан-тўғри Буюртмачининг масъул ходимлари томонидан тақдим этилаётган хизматлар ҳажми, уларнинг сифати кўрсатилган ҳисобварақ-фактура бўйича қабул қилинади.</w:t>
      </w:r>
    </w:p>
    <w:p w:rsidR="00305504" w:rsidRPr="002327E6" w:rsidRDefault="00305504" w:rsidP="00305504">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Шартномада назарда тутилган хизматлар ушбу шартномага мувофиқ ёки ушбу шартномада белгиланган муддатларда ва ҳажмларда амалга оширилади.</w:t>
      </w:r>
    </w:p>
    <w:p w:rsidR="00305504" w:rsidRPr="002327E6" w:rsidRDefault="00305504" w:rsidP="00305504">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Буюртма бевосита (қўлда), почта орқали ёки бошқа усул билан хизматларни кўрсатиш назарда тутилаётган сана бошланишидан беш кундан кечиктирмай тақдим этилади. Буюртма бевосита (қўлда</w:t>
      </w:r>
      <w:r>
        <w:rPr>
          <w:rFonts w:eastAsia="Calibri"/>
          <w:sz w:val="22"/>
          <w:szCs w:val="22"/>
          <w:lang w:val="uz-Cyrl-UZ" w:eastAsia="en-US"/>
        </w:rPr>
        <w:t>) қабул қилганда, Пудратчи</w:t>
      </w:r>
      <w:r w:rsidRPr="002327E6">
        <w:rPr>
          <w:rFonts w:eastAsia="Calibri"/>
          <w:sz w:val="22"/>
          <w:szCs w:val="22"/>
          <w:lang w:val="uz-Cyrl-UZ" w:eastAsia="en-US"/>
        </w:rPr>
        <w:t>нинг ходими Буюртмачида қоладиган буюртма нусхасида қабул қилинганлиги тўғрисида белги қўяди.</w:t>
      </w:r>
    </w:p>
    <w:p w:rsidR="00305504" w:rsidRPr="002327E6" w:rsidRDefault="00305504" w:rsidP="00305504">
      <w:pPr>
        <w:widowControl/>
        <w:numPr>
          <w:ilvl w:val="1"/>
          <w:numId w:val="1"/>
        </w:numPr>
        <w:autoSpaceDE/>
        <w:autoSpaceDN/>
        <w:adjustRightInd/>
        <w:spacing w:after="160" w:line="242" w:lineRule="auto"/>
        <w:ind w:left="0" w:firstLine="709"/>
        <w:contextualSpacing/>
        <w:jc w:val="both"/>
        <w:rPr>
          <w:rFonts w:eastAsia="Calibri"/>
          <w:sz w:val="22"/>
          <w:szCs w:val="22"/>
          <w:lang w:val="uz-Cyrl-UZ" w:eastAsia="en-US"/>
        </w:rPr>
      </w:pPr>
      <w:r w:rsidRPr="002327E6">
        <w:rPr>
          <w:rFonts w:eastAsia="Calibri"/>
          <w:sz w:val="22"/>
          <w:szCs w:val="22"/>
          <w:lang w:val="uz-Cyrl-UZ" w:eastAsia="en-US"/>
        </w:rPr>
        <w:t>Буюртмачи илгари берилган буюртмани бекор қилишга ёки хизматларнинг тегишли қисмини кўрсатиш санасини Бажарувчини буюртмада кўрсатилган санадан камида бир кун олдин хабар берган ҳолда ўзгартиришга ҳақли.</w:t>
      </w: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V. ТОМОНЛАРНИНГ ЖАВОБГАРЛИГИ</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Тақдим этилаётган хизматларнинг сифати, миқдори</w:t>
      </w:r>
      <w:r>
        <w:rPr>
          <w:rFonts w:eastAsia="Calibri"/>
          <w:sz w:val="22"/>
          <w:szCs w:val="22"/>
          <w:lang w:val="uz-Cyrl-UZ" w:eastAsia="en-US"/>
        </w:rPr>
        <w:t>, уларнинг баҳоси Пудратчи</w:t>
      </w:r>
      <w:r w:rsidRPr="002327E6">
        <w:rPr>
          <w:rFonts w:eastAsia="Calibri"/>
          <w:sz w:val="22"/>
          <w:szCs w:val="22"/>
          <w:lang w:val="uz-Cyrl-UZ" w:eastAsia="en-US"/>
        </w:rPr>
        <w:t xml:space="preserve"> томонидан нотўғри белгиланганлик ҳолати аниқланган </w:t>
      </w:r>
      <w:r>
        <w:rPr>
          <w:rFonts w:eastAsia="Calibri"/>
          <w:sz w:val="22"/>
          <w:szCs w:val="22"/>
          <w:lang w:val="uz-Cyrl-UZ" w:eastAsia="en-US"/>
        </w:rPr>
        <w:t>тақдирда, Пудратчи</w:t>
      </w:r>
      <w:r w:rsidRPr="002327E6">
        <w:rPr>
          <w:rFonts w:eastAsia="Calibri"/>
          <w:sz w:val="22"/>
          <w:szCs w:val="22"/>
          <w:lang w:val="uz-Cyrl-UZ" w:eastAsia="en-US"/>
        </w:rPr>
        <w:t xml:space="preserve"> тақдим этилаётган хизматларнинг сифатини, шунингдек уларнинг миқдорини ҳисобга олган ҳолда қайта ҳисоб-китоб ишларини амалга оширади ва ушбу ҳисобланган суммага қўшимча равишда мижозга нотўғри ҳисобланган сумманинг 20% миқдорида жарима тўлайди.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Агар тақдим этилаётган хизматларнинг сифати шартномада кўрсатилган техник ва бошқа шартларнинг талабларига жавоб бермаса, айбдор томон тақдим этилган сифати лозим даражада бўлмаган хизматлар баҳосининг 20% миқдорида жарима тўлайди.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Жарима ва пенядан ташқари, Бажарувчи Буюртмачига хизматларни тақдим этмаслик натижасида этказилган зарарни қоплайди.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Хизматлар кечиктирилган ёки к</w:t>
      </w:r>
      <w:r>
        <w:rPr>
          <w:rFonts w:eastAsia="Calibri"/>
          <w:sz w:val="22"/>
          <w:szCs w:val="22"/>
          <w:lang w:val="uz-Cyrl-UZ" w:eastAsia="en-US"/>
        </w:rPr>
        <w:t>ўрсатилмаган тақдирда, Пудратчи</w:t>
      </w:r>
      <w:r w:rsidRPr="002327E6">
        <w:rPr>
          <w:rFonts w:eastAsia="Calibri"/>
          <w:sz w:val="22"/>
          <w:szCs w:val="22"/>
          <w:lang w:val="uz-Cyrl-UZ" w:eastAsia="en-US"/>
        </w:rPr>
        <w:t xml:space="preserve"> Буюртмачига ҳар бир кечиктирилган кун учун мажбуриятнинг бажарилмаган қисмининг 0,5 фоизи миқдорида пеня тўлайди, аммо жариманинг умумий миқдори кўрсатилмаган хизматлар баҳосининг 50 фоизидан ошмаслиги керак. Пеняни тўлаш шартнома мажбуриятларини бузган томонни шартномани тўғри бажаришдан ва хизматларни кечиктириш ёки кўрсатмаслик оқибатида етказилган зарарни қоплашдан озод қилмайди.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Кўрсатилган хизматлар учун тўловни ўз вақтида тўламаг</w:t>
      </w:r>
      <w:r>
        <w:rPr>
          <w:rFonts w:eastAsia="Calibri"/>
          <w:sz w:val="22"/>
          <w:szCs w:val="22"/>
          <w:lang w:val="uz-Cyrl-UZ" w:eastAsia="en-US"/>
        </w:rPr>
        <w:t>ан тақдирда, Буюртмачи Пудратчи</w:t>
      </w:r>
      <w:r w:rsidRPr="002327E6">
        <w:rPr>
          <w:rFonts w:eastAsia="Calibri"/>
          <w:sz w:val="22"/>
          <w:szCs w:val="22"/>
          <w:lang w:val="uz-Cyrl-UZ" w:eastAsia="en-US"/>
        </w:rPr>
        <w:t>га ҳар бир кечиктирилган кун учун муддати ўтган тўлов суммасининг 0,4 фоизи миқдорида, лекин муддати ўтган тўлов миқдорининг 50 фоизидан кўп бўлмаган миқдорда пеня тўлайди.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Буюртмачи шартноманинг тегишли шартини бажармаганлиги ёки лозим даражада бажармаганлиги учун жавобгарликка тортилганда, тегишли ҳаракат (ҳаракатсизлик) натижасида Буюртмачи томонидан шартнома шартлари бажарилмаганлиги (лозим даражада бажа</w:t>
      </w:r>
      <w:r>
        <w:rPr>
          <w:rFonts w:eastAsia="Calibri"/>
          <w:sz w:val="22"/>
          <w:szCs w:val="22"/>
          <w:lang w:val="uz-Cyrl-UZ" w:eastAsia="en-US"/>
        </w:rPr>
        <w:t>рилмаганлиги) юзасидан Пудратчи</w:t>
      </w:r>
      <w:r w:rsidRPr="002327E6">
        <w:rPr>
          <w:rFonts w:eastAsia="Calibri"/>
          <w:sz w:val="22"/>
          <w:szCs w:val="22"/>
          <w:lang w:val="uz-Cyrl-UZ" w:eastAsia="en-US"/>
        </w:rPr>
        <w:t>нинг жавобгарлиги ҳам кўриб чиқилади.</w:t>
      </w:r>
    </w:p>
    <w:p w:rsidR="00305504" w:rsidRPr="002327E6" w:rsidRDefault="00305504" w:rsidP="00305504">
      <w:pPr>
        <w:widowControl/>
        <w:autoSpaceDE/>
        <w:autoSpaceDN/>
        <w:adjustRightInd/>
        <w:spacing w:line="242" w:lineRule="auto"/>
        <w:ind w:firstLine="567"/>
        <w:jc w:val="both"/>
        <w:rPr>
          <w:rFonts w:eastAsia="Calibri"/>
          <w:sz w:val="22"/>
          <w:szCs w:val="22"/>
          <w:lang w:val="uz-Cyrl-UZ" w:eastAsia="en-US"/>
        </w:rPr>
      </w:pPr>
      <w:r>
        <w:rPr>
          <w:rFonts w:eastAsia="Calibri"/>
          <w:sz w:val="22"/>
          <w:szCs w:val="22"/>
          <w:lang w:val="uz-Cyrl-UZ" w:eastAsia="en-US"/>
        </w:rPr>
        <w:t>Буюртмачининг Пудратчи</w:t>
      </w:r>
      <w:r w:rsidRPr="002327E6">
        <w:rPr>
          <w:rFonts w:eastAsia="Calibri"/>
          <w:sz w:val="22"/>
          <w:szCs w:val="22"/>
          <w:lang w:val="uz-Cyrl-UZ" w:eastAsia="en-US"/>
        </w:rPr>
        <w:t xml:space="preserve"> айби билан шартномани бажармаганлиги (лозим даражада бажарилмаганлиги) натижасида етказилган зарар</w:t>
      </w:r>
      <w:r>
        <w:rPr>
          <w:rFonts w:eastAsia="Calibri"/>
          <w:sz w:val="22"/>
          <w:szCs w:val="22"/>
          <w:lang w:val="uz-Cyrl-UZ" w:eastAsia="en-US"/>
        </w:rPr>
        <w:t>, белгиланган тартибда Пудратчи</w:t>
      </w:r>
      <w:r w:rsidRPr="002327E6">
        <w:rPr>
          <w:rFonts w:eastAsia="Calibri"/>
          <w:sz w:val="22"/>
          <w:szCs w:val="22"/>
          <w:lang w:val="uz-Cyrl-UZ" w:eastAsia="en-US"/>
        </w:rPr>
        <w:t xml:space="preserve"> томонидан қопланади.</w:t>
      </w:r>
    </w:p>
    <w:p w:rsidR="00305504" w:rsidRPr="002327E6" w:rsidRDefault="00305504" w:rsidP="00305504">
      <w:pPr>
        <w:widowControl/>
        <w:numPr>
          <w:ilvl w:val="1"/>
          <w:numId w:val="1"/>
        </w:numPr>
        <w:autoSpaceDE/>
        <w:autoSpaceDN/>
        <w:adjustRightInd/>
        <w:spacing w:after="160" w:line="242" w:lineRule="auto"/>
        <w:ind w:left="0" w:firstLine="709"/>
        <w:contextualSpacing/>
        <w:jc w:val="both"/>
        <w:rPr>
          <w:rFonts w:eastAsia="Calibri"/>
          <w:sz w:val="22"/>
          <w:szCs w:val="22"/>
          <w:lang w:val="uz-Cyrl-UZ" w:eastAsia="en-US"/>
        </w:rPr>
      </w:pPr>
      <w:r w:rsidRPr="002327E6">
        <w:rPr>
          <w:rFonts w:eastAsia="Calibri"/>
          <w:sz w:val="22"/>
          <w:szCs w:val="22"/>
          <w:lang w:val="uz-Cyrl-UZ" w:eastAsia="en-US"/>
        </w:rPr>
        <w:t>Томонларнинг ушбу шартномада кўзда тутилмаган жавобгарлик масалалари Ўзбекистон Республикасининг қонун ҳужжатларига мувофиқ ҳал қилинади.</w:t>
      </w: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VI. НИЗОЛАРНИ ҲАЛ ЭТИШ ТАРТИБИ</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ўртасида ушбу келишувдан келиб чиқадиган низолар томонлар ўртасида музокаралар йўли билан ҳал қилинади.</w:t>
      </w:r>
    </w:p>
    <w:p w:rsidR="00305504" w:rsidRPr="002327E6" w:rsidRDefault="00305504" w:rsidP="00305504">
      <w:pPr>
        <w:widowControl/>
        <w:numPr>
          <w:ilvl w:val="1"/>
          <w:numId w:val="1"/>
        </w:numPr>
        <w:autoSpaceDE/>
        <w:autoSpaceDN/>
        <w:adjustRightInd/>
        <w:spacing w:after="160" w:line="242" w:lineRule="auto"/>
        <w:ind w:left="0" w:firstLine="709"/>
        <w:contextualSpacing/>
        <w:jc w:val="both"/>
        <w:rPr>
          <w:rFonts w:eastAsia="Calibri"/>
          <w:b/>
          <w:sz w:val="22"/>
          <w:szCs w:val="22"/>
          <w:lang w:val="uz-Cyrl-UZ" w:eastAsia="en-US"/>
        </w:rPr>
      </w:pPr>
      <w:r w:rsidRPr="002327E6">
        <w:rPr>
          <w:rFonts w:eastAsia="Calibri"/>
          <w:sz w:val="22"/>
          <w:szCs w:val="22"/>
          <w:lang w:val="uz-Cyrl-UZ" w:eastAsia="en-US"/>
        </w:rPr>
        <w:t>Томонлар ўртасидаги музокаралар йўли билан ҳал қилинмаган низолар Тошкент шахар туманлараро иқтисодий судида ҳал қилинади.</w:t>
      </w: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VII. ФОРС-МАЖОР ҲОЛАТЛАРИ</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Агар ушбу шартнома тузилгандан сўнг, ушбу шартномада белгиланган мажбуриятларнинг бирон бир томонини тўлиқ ёки қисман тўғри бажаришига тўсқинлик қиладиган ҳолатлар юзага келса ва агар бундай ҳолатлар, яъни ёнғин, тошқин, зилзила, бошқа табиий офатлар, экспорт ёки импортга </w:t>
      </w:r>
      <w:r w:rsidRPr="002327E6">
        <w:rPr>
          <w:rFonts w:eastAsia="Calibri"/>
          <w:sz w:val="22"/>
          <w:szCs w:val="22"/>
          <w:lang w:val="uz-Cyrl-UZ" w:eastAsia="en-US"/>
        </w:rPr>
        <w:lastRenderedPageBreak/>
        <w:t>тўсиқлар ёки эмбарголар, уруш, жанговар ҳаракатлар, террористик ҳаракатлар, иш ташлашлар (томонлар ишчиларининг иш ташлашларидан ташқари), пандемия, амалдаги қонунчиликдаги ўзгаришлар, давлат органлари ва Ўзбекистон Республикаси Ҳукумати томонидан қабул қилинган умумий характердаги қарорлар томонларнинг шартнома шартларини бажаришига бевосита таъсир қилса, тегишли мажбуриятларнинг бажарилиши вақти бундай ҳолатлар бартараф этилган вақтга ёки уларнинг оқибатлари тугаши вақтига кўчирилади.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Форс-мажор ҳолатлари юзага келган Томон, ушбу ҳолат ҳақида шунингдек, ҳолатнинг тахминий давомийлиги тўғрисида бошқа Томонни ёзма равишда 7 (етти) кун ичида хабардор қилиши шарт. Агар юқорида кўрсатилган ҳолатлар тўғрисида ўз вақтида хабар берилмаган бўлса, енгиб бўлмас куч таъсирида зарар етказилган Томон ушбу ҳолатларни асос қилиб ололмайди.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Хабарномада кўрсатилган фактлар расмий манбалар томонидан берилган ҳужжатлар билан тасдиқланиши керак, шу жумладан, пресс-релизлар, бироқ улар билан чекланмаслик лозим. Бундай хабарноманинг йўқлиги, шунингдек тегишли далилларнинг йўқлиги ушбу томонни шартнома мажбуриятларини бажаришдан озод қилинишига асос сифатида юқоридаги ҳолатларни келтириш ҳуқуқидан маҳрум қилади.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Фавқулодда вазиятлар юзага келган тақдирда, томонлар зудлик билан ўзаро музокаралар олиб борадилар ва фавқулодда вазиятлар оқибатларини бартараф этиш ёки бартараф этиш мақсадида кўриладиган чоралар тўғрисида келишиб оладилар.</w:t>
      </w:r>
    </w:p>
    <w:p w:rsidR="00305504" w:rsidRPr="002327E6" w:rsidRDefault="00305504" w:rsidP="00305504">
      <w:pPr>
        <w:widowControl/>
        <w:numPr>
          <w:ilvl w:val="1"/>
          <w:numId w:val="1"/>
        </w:numPr>
        <w:autoSpaceDE/>
        <w:autoSpaceDN/>
        <w:adjustRightInd/>
        <w:spacing w:after="160" w:line="242" w:lineRule="auto"/>
        <w:ind w:left="0" w:firstLine="709"/>
        <w:contextualSpacing/>
        <w:jc w:val="both"/>
        <w:rPr>
          <w:rFonts w:eastAsia="Calibri"/>
          <w:sz w:val="22"/>
          <w:szCs w:val="22"/>
          <w:lang w:val="uz-Cyrl-UZ" w:eastAsia="en-US"/>
        </w:rPr>
      </w:pPr>
      <w:r w:rsidRPr="002327E6">
        <w:rPr>
          <w:rFonts w:eastAsia="Calibri"/>
          <w:sz w:val="22"/>
          <w:szCs w:val="22"/>
          <w:lang w:val="uz-Cyrl-UZ" w:eastAsia="en-US"/>
        </w:rPr>
        <w:t>Агар форс-мажор ҳолатлари ёки уларнинг оқибатлари томонларнинг ўз мажбуриятларини бажаришига тўсқинлик қиладиган бўлса, томонларнинг ҳар бири бошқа томонга ушбу шартномани бекор қилишнинг кутилаётган санасидан 10 (ўн) иш куни олдин ёзма равишда хабар юборганидан кейин ушбу шартномани бекор қилиш ҳуқуқига эга. Бундай ҳолда томонларнинг ҳеч бири бошқа томондан форс-мажор ҳолатлари натижасида етказилган зарарни қоплашни талаб қилишга ҳақли эмас. Шунингдек, Бажарувчи бажарилмаган мажбуриятлари учун Буюртмачидан олинган барча тўловларни Буюртмачига қайтаради ва Буюртмачи Бажарувчининг бажарилган барча мажбуриятларини тўлиқ тўлайди.</w:t>
      </w: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VIII. КОРРУПЦИЯГА ҚАРШИ КУРАШ</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Ушбу Шартнома бўйича ўз мажбуриятларини бажараётганда Томонлар, уларнинг шериклари, ишчилари ёки воситачилари ҳар қандай ноқонуний устунликларга ёки бошқа ноқонуний мақсадларга эришиш учун бевосита ёки билвосита пул маблағлари ёки қимматликларни тўлашни амалга оширмайди. </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мажбуриятларини бажараётганда Томонлар, уларнинг шериклари, ишчилари ёки воситачилари пора бериш/олиш, тижорий пора олиш, шунингдек амалдаги қонунчилик ва халқаро ҳужжатларнинг талабларини бузадиган ҳаракатларни амалга оширмайдилар. Жиноий йўл билан топилган даромадларни легаллаштиришга қарши курашишга оид халқаро ҳужжатлар талабларини бузилиши каби ҳаракатларни амалга оширмайди.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Томонларининг ҳар бири бошқа Томоннинг ходимларини ҳар қандай тарзда рағбатлантиришдан, шу жумладан пул маблағлари, совғалар бериш, уларга иш (хизматлар)ни бепул бажариши ва ушбу бандда кўрсатилмаган бошқа усуллар билан ходимнинг рағбатлантирувчи томон фойдасига ҳар қандай ҳаракатларни содир этишдан бош тортади.</w:t>
      </w:r>
    </w:p>
    <w:p w:rsidR="00305504" w:rsidRPr="002327E6" w:rsidRDefault="00305504" w:rsidP="00305504">
      <w:pPr>
        <w:widowControl/>
        <w:autoSpaceDE/>
        <w:autoSpaceDN/>
        <w:adjustRightInd/>
        <w:spacing w:line="242" w:lineRule="auto"/>
        <w:ind w:firstLine="567"/>
        <w:jc w:val="both"/>
        <w:rPr>
          <w:rFonts w:eastAsia="Calibri"/>
          <w:sz w:val="22"/>
          <w:szCs w:val="22"/>
          <w:lang w:val="uz-Cyrl-UZ" w:eastAsia="en-US"/>
        </w:rPr>
      </w:pPr>
      <w:r w:rsidRPr="002327E6">
        <w:rPr>
          <w:rFonts w:eastAsia="Calibri"/>
          <w:sz w:val="22"/>
          <w:szCs w:val="22"/>
          <w:lang w:val="uz-Cyrl-UZ" w:eastAsia="en-US"/>
        </w:rPr>
        <w:t>Ходимнинг уни рағбатлантирувчи томон фойдасига амалга оширган ҳаракатлари деганда қуйидагилар тушунилади:</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бошқа контрагентлар билан таққослаганда асоссиз устунликларни тақдим этиш;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ҳар қандай кафолатлар билан таъминлаш;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амалдаги тартиб-таомилларни тезлаштириш;</w:t>
      </w:r>
    </w:p>
    <w:p w:rsidR="00305504" w:rsidRPr="002327E6" w:rsidRDefault="00305504" w:rsidP="00305504">
      <w:pPr>
        <w:widowControl/>
        <w:numPr>
          <w:ilvl w:val="0"/>
          <w:numId w:val="2"/>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ходим томонидан ўз вазифалари доирасида амалга ошириладиган, аммо Томонлар ўртасидаги муносабатларнинг шаффофлиги ва очиқлиги тамойилларига зид бўлган бошқа ҳаракатлар.</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Агар Томонлардан бири мазкур шартноманинг 2-иловасида келтирилган коррупцияга қарши курашиш шартларини бузган ёки бузиши мумкин деб гумон қилса, иккинчи Томонни ёзма равишда хабардор қилишга мажбур. Ёзма хабарномадан сўнг, тегишли Томон ушбу Шартнома бўйича мажбуриятларнинг бажарилишини бузилиш содир бўлмаганлиги ёки содир бўлмаслиги тасдиқлангунга қадар тўхтатиб туришга ҳақли. Ушбу тасдиқ ёзма хабарнома юборилган кундан бошлаб 5 (беш) иш куни ичида юборилиши керак.</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Ёзма хабарномада Томон контрагент, унинг шериклари, ишчилари ёки воситачилари томонидан ушбу шартлар ва қоидаларнинг бузилганлиги ёки бузилиши мумкинлигини ишончли тарзда тасдиқлайдиган ёки асослаши мумкин бўлган фактларга таяниши ёки тегишли материалларни тақдим этишга мажбур, яъни пора олиш/бериш, тижорий пора олиш, шунингдек амалдаги қонунчилик ва жиноий фаолиятдан олинган даромадларни легаллаштиришга қарши кураш бўйича халқаро ҳужжатлар талабларини бузадиган ҳаракатлар асослантирилиши лозим.</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lastRenderedPageBreak/>
        <w:t>Шартноманинг тарафлари коррупциянинг олдини олиш чораларини кўриш тартиб-таомилларини тан олади ва уларга риоя этилишини назорат қилади. Бунда Томонлар коррупциявий фаолият билан шуғулланиши мумкин бўлган контрагентлар билан ишбилармонлик муносабатлари хавфини минималлаштириш, шунингдек, коррупциянинг олдини олиш мақсадида бир-бирига ўзаро ёрдам бериш учун оқилона ҳаракатларни амалга оширадилар. Шунингдек, Томонлар коррупциявий фаолиятга Томонларнинг иштироки хавфини олдини олиш мақсадида текширувлар ўтказиш тартиб-таомилларини амалга оширилишини таъминлайдилар.</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ўзларининг содир этилиши мумкин бўлган ноқонуний хатти-ҳаракатлари ва ушбу Шартноманинг коррупцияга қарши курашиш шартларининг бузилиши контрагентнинг ишончлилиги рейтингини пасайтиришидан тортиб ушбу шартноманинг бекор қилинишигача бўлган нохуш оқибатларга олиб келиши мумкинлигини тан олади.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махфийлик тамойилларига риоя қилган ҳолда ушбу Шартномани бажариш доирасида келтирилган фактлар бўйича тегишли тартиб-таомиллар амалга оширилишини ва амалий қийинчиликларни бартараф этиш ва юзага келиши мумкин бўлган низоли вазиятларнинг олдини олиш бўйича самарали чораларни қўллашни кафолатлайдилар.</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ушбу Шартноманинг коррупцияга қарши курашиш шартларини бажариш бўйича тўлиқ махфийликни, шунингдек, талаблар бузилганлиги фактлари тўғрисида хабар берган Томон учун ҳам, шунингдек, хабар берган Томоннинг ходимлари учун ҳам салбий оқибатлар келтирмаслигини кафолатлайдилар.</w:t>
      </w:r>
    </w:p>
    <w:p w:rsidR="00305504" w:rsidRPr="002327E6" w:rsidRDefault="00305504" w:rsidP="00305504">
      <w:pPr>
        <w:widowControl/>
        <w:autoSpaceDE/>
        <w:autoSpaceDN/>
        <w:adjustRightInd/>
        <w:spacing w:line="242" w:lineRule="auto"/>
        <w:rPr>
          <w:rFonts w:eastAsia="Calibri"/>
          <w:b/>
          <w:sz w:val="22"/>
          <w:szCs w:val="22"/>
          <w:lang w:val="uz-Cyrl-UZ" w:eastAsia="en-US"/>
        </w:rPr>
      </w:pP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IX. ШАРТНОМАНИНГ АМАЛ ҚИЛИШИ</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Ушбу шартнома Томонлар имзолаган кундан бошлаб кучга киради ва 2022 йил </w:t>
      </w:r>
      <w:r w:rsidRPr="002327E6">
        <w:rPr>
          <w:rFonts w:eastAsia="Calibri"/>
          <w:sz w:val="22"/>
          <w:szCs w:val="22"/>
          <w:lang w:val="uz-Cyrl-UZ" w:eastAsia="en-US"/>
        </w:rPr>
        <w:br/>
        <w:t>31 декабргача амал қилади.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Томонлар ўртасидаги муносабатлар ушбу шартноманинг барча шартлари бажарилганда ва ҳисоб-китоблар тўлиқ амалга оширилганда тугайди.</w:t>
      </w:r>
    </w:p>
    <w:p w:rsidR="00305504" w:rsidRPr="002327E6" w:rsidRDefault="00305504" w:rsidP="00305504">
      <w:pPr>
        <w:widowControl/>
        <w:autoSpaceDE/>
        <w:autoSpaceDN/>
        <w:adjustRightInd/>
        <w:spacing w:line="242" w:lineRule="auto"/>
        <w:ind w:firstLine="709"/>
        <w:jc w:val="both"/>
        <w:rPr>
          <w:rFonts w:eastAsia="Calibri"/>
          <w:sz w:val="22"/>
          <w:szCs w:val="22"/>
          <w:lang w:val="uz-Cyrl-UZ" w:eastAsia="en-US"/>
        </w:rPr>
      </w:pPr>
    </w:p>
    <w:p w:rsidR="00305504" w:rsidRPr="002327E6" w:rsidRDefault="00305504" w:rsidP="00305504">
      <w:pPr>
        <w:widowControl/>
        <w:autoSpaceDE/>
        <w:autoSpaceDN/>
        <w:adjustRightInd/>
        <w:spacing w:line="242" w:lineRule="auto"/>
        <w:jc w:val="center"/>
        <w:rPr>
          <w:rFonts w:eastAsia="Calibri"/>
          <w:b/>
          <w:sz w:val="22"/>
          <w:szCs w:val="22"/>
          <w:lang w:val="uz-Cyrl-UZ" w:eastAsia="en-US"/>
        </w:rPr>
      </w:pPr>
      <w:r w:rsidRPr="002327E6">
        <w:rPr>
          <w:rFonts w:eastAsia="Calibri"/>
          <w:b/>
          <w:sz w:val="22"/>
          <w:szCs w:val="22"/>
          <w:lang w:val="uz-Cyrl-UZ" w:eastAsia="en-US"/>
        </w:rPr>
        <w:t>Х. ЯКУНИЙ ҚОИДАЛАР</w:t>
      </w:r>
    </w:p>
    <w:p w:rsidR="00305504" w:rsidRPr="002327E6" w:rsidRDefault="00305504" w:rsidP="00305504">
      <w:pPr>
        <w:widowControl/>
        <w:numPr>
          <w:ilvl w:val="0"/>
          <w:numId w:val="1"/>
        </w:numPr>
        <w:autoSpaceDE/>
        <w:autoSpaceDN/>
        <w:adjustRightInd/>
        <w:spacing w:after="160" w:line="242" w:lineRule="auto"/>
        <w:contextualSpacing/>
        <w:jc w:val="both"/>
        <w:rPr>
          <w:rFonts w:eastAsia="Calibri"/>
          <w:vanish/>
          <w:sz w:val="22"/>
          <w:szCs w:val="22"/>
          <w:lang w:val="uz-Cyrl-UZ" w:eastAsia="en-US"/>
        </w:rPr>
      </w:pP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 xml:space="preserve">Ушбу Шартнома томонларнинг келишуви билан ёки Томонлардан бирининг талабига биноан, бошқа томон томонидан шартнома шартлари сезиларли даражада бузилган тақдирда суд томонидан бекор қилиниши мумкин. </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шартномага киритилган ҳар қандай ўзгартириш ва қўшимчалар фақат ёзма равишда тузилган ва тарафларнинг тегишли ваколатли вакиллари томонидан имзоланган тақдирда амал қилади.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бир хил юридик кучга эга бўлган икки нусхада тузилди.</w:t>
      </w:r>
    </w:p>
    <w:p w:rsidR="00305504" w:rsidRPr="002327E6" w:rsidRDefault="00305504" w:rsidP="00305504">
      <w:pPr>
        <w:widowControl/>
        <w:numPr>
          <w:ilvl w:val="1"/>
          <w:numId w:val="1"/>
        </w:numPr>
        <w:autoSpaceDE/>
        <w:autoSpaceDN/>
        <w:adjustRightInd/>
        <w:spacing w:after="160" w:line="242" w:lineRule="auto"/>
        <w:ind w:left="0" w:firstLine="567"/>
        <w:contextualSpacing/>
        <w:jc w:val="both"/>
        <w:rPr>
          <w:rFonts w:eastAsia="Calibri"/>
          <w:sz w:val="22"/>
          <w:szCs w:val="22"/>
          <w:lang w:val="uz-Cyrl-UZ" w:eastAsia="en-US"/>
        </w:rPr>
      </w:pPr>
      <w:r w:rsidRPr="002327E6">
        <w:rPr>
          <w:rFonts w:eastAsia="Calibri"/>
          <w:sz w:val="22"/>
          <w:szCs w:val="22"/>
          <w:lang w:val="uz-Cyrl-UZ" w:eastAsia="en-US"/>
        </w:rPr>
        <w:t>Ушбу шартнома, унга киритилган ўзгартиришлар (қўшимчалар) томонлар томонидан имзоланган пайтдан бошлаб оширилади.</w:t>
      </w:r>
    </w:p>
    <w:p w:rsidR="00305504" w:rsidRPr="002327E6" w:rsidRDefault="00305504" w:rsidP="00305504">
      <w:pPr>
        <w:widowControl/>
        <w:autoSpaceDE/>
        <w:autoSpaceDN/>
        <w:adjustRightInd/>
        <w:spacing w:line="264" w:lineRule="auto"/>
        <w:ind w:firstLine="709"/>
        <w:rPr>
          <w:rFonts w:eastAsia="Calibri"/>
          <w:sz w:val="22"/>
          <w:szCs w:val="22"/>
          <w:lang w:val="uz-Cyrl-UZ" w:eastAsia="en-US"/>
        </w:rPr>
      </w:pPr>
    </w:p>
    <w:p w:rsidR="00305504" w:rsidRPr="002327E6" w:rsidRDefault="00305504" w:rsidP="00305504">
      <w:pPr>
        <w:widowControl/>
        <w:autoSpaceDE/>
        <w:autoSpaceDN/>
        <w:adjustRightInd/>
        <w:spacing w:line="264" w:lineRule="auto"/>
        <w:jc w:val="center"/>
        <w:rPr>
          <w:rFonts w:eastAsia="Calibri"/>
          <w:b/>
          <w:sz w:val="22"/>
          <w:szCs w:val="22"/>
          <w:lang w:val="uz-Cyrl-UZ" w:eastAsia="en-US"/>
        </w:rPr>
      </w:pPr>
      <w:r w:rsidRPr="002327E6">
        <w:rPr>
          <w:rFonts w:eastAsia="Calibri"/>
          <w:b/>
          <w:sz w:val="22"/>
          <w:szCs w:val="22"/>
          <w:lang w:val="uz-Cyrl-UZ" w:eastAsia="en-US"/>
        </w:rPr>
        <w:t>XI. ТОМОНЛАРНИНГ РЕКВИЗИТЛАРИ ВА ИМЗОЛАРИ</w:t>
      </w:r>
    </w:p>
    <w:p w:rsidR="00305504" w:rsidRPr="002327E6" w:rsidRDefault="00305504" w:rsidP="00305504">
      <w:pPr>
        <w:widowControl/>
        <w:autoSpaceDE/>
        <w:autoSpaceDN/>
        <w:adjustRightInd/>
        <w:spacing w:line="264" w:lineRule="auto"/>
        <w:ind w:firstLine="709"/>
        <w:jc w:val="center"/>
        <w:rPr>
          <w:rFonts w:eastAsia="Calibri"/>
          <w:b/>
          <w:sz w:val="22"/>
          <w:szCs w:val="22"/>
          <w:lang w:val="uz-Cyrl-UZ" w:eastAsia="en-US"/>
        </w:rPr>
      </w:pPr>
    </w:p>
    <w:tbl>
      <w:tblPr>
        <w:tblW w:w="14176" w:type="dxa"/>
        <w:tblLook w:val="00A0" w:firstRow="1" w:lastRow="0" w:firstColumn="1" w:lastColumn="0" w:noHBand="0" w:noVBand="0"/>
      </w:tblPr>
      <w:tblGrid>
        <w:gridCol w:w="4678"/>
        <w:gridCol w:w="4678"/>
        <w:gridCol w:w="4820"/>
      </w:tblGrid>
      <w:tr w:rsidR="00305504" w:rsidRPr="002327E6" w:rsidTr="00003046">
        <w:tc>
          <w:tcPr>
            <w:tcW w:w="4678" w:type="dxa"/>
          </w:tcPr>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Буюртмачи:</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Р/с:__________________________________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Л/с:__________________________________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Банк реквизитлари: 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МФО 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ИНН: ________________________________</w:t>
            </w:r>
          </w:p>
          <w:p w:rsidR="00305504" w:rsidRPr="002327E6" w:rsidRDefault="00305504" w:rsidP="00003046">
            <w:pPr>
              <w:widowControl/>
              <w:autoSpaceDE/>
              <w:autoSpaceDN/>
              <w:adjustRightInd/>
              <w:ind w:firstLine="567"/>
              <w:jc w:val="both"/>
              <w:rPr>
                <w:rFonts w:eastAsia="Calibri"/>
                <w:b/>
                <w:bCs/>
                <w:sz w:val="22"/>
                <w:szCs w:val="22"/>
                <w:lang w:val="uz-Cyrl-UZ" w:eastAsia="en-US"/>
              </w:rPr>
            </w:pPr>
            <w:r w:rsidRPr="002327E6">
              <w:rPr>
                <w:rFonts w:eastAsia="Calibri"/>
                <w:sz w:val="22"/>
                <w:szCs w:val="22"/>
                <w:lang w:val="uz-Cyrl-UZ" w:eastAsia="en-US"/>
              </w:rPr>
              <w:t>ОКЭД: ___________________________</w:t>
            </w:r>
          </w:p>
          <w:p w:rsidR="00305504" w:rsidRPr="002327E6" w:rsidRDefault="00305504" w:rsidP="00003046">
            <w:pPr>
              <w:widowControl/>
              <w:autoSpaceDE/>
              <w:autoSpaceDN/>
              <w:adjustRightInd/>
              <w:ind w:firstLine="567"/>
              <w:jc w:val="both"/>
              <w:rPr>
                <w:rFonts w:eastAsia="Calibri"/>
                <w:b/>
                <w:bCs/>
                <w:sz w:val="22"/>
                <w:szCs w:val="22"/>
                <w:lang w:val="uz-Cyrl-UZ" w:eastAsia="en-US"/>
              </w:rPr>
            </w:pPr>
          </w:p>
          <w:p w:rsidR="00305504" w:rsidRPr="002327E6" w:rsidRDefault="00305504" w:rsidP="00003046">
            <w:pPr>
              <w:widowControl/>
              <w:autoSpaceDE/>
              <w:autoSpaceDN/>
              <w:adjustRightInd/>
              <w:ind w:firstLine="567"/>
              <w:jc w:val="both"/>
              <w:rPr>
                <w:rFonts w:eastAsia="Calibri"/>
                <w:b/>
                <w:bCs/>
                <w:sz w:val="22"/>
                <w:szCs w:val="22"/>
                <w:lang w:val="uz-Cyrl-UZ" w:eastAsia="en-US"/>
              </w:rPr>
            </w:pPr>
          </w:p>
          <w:p w:rsidR="00305504" w:rsidRPr="002327E6" w:rsidRDefault="00305504" w:rsidP="00003046">
            <w:pPr>
              <w:widowControl/>
              <w:autoSpaceDE/>
              <w:autoSpaceDN/>
              <w:adjustRightInd/>
              <w:ind w:firstLine="567"/>
              <w:jc w:val="both"/>
              <w:rPr>
                <w:rFonts w:eastAsia="Calibri"/>
                <w:b/>
                <w:bCs/>
                <w:sz w:val="22"/>
                <w:szCs w:val="22"/>
                <w:lang w:val="uz-Cyrl-UZ" w:eastAsia="en-US"/>
              </w:rPr>
            </w:pPr>
          </w:p>
          <w:p w:rsidR="00305504" w:rsidRPr="002327E6" w:rsidRDefault="00305504" w:rsidP="00003046">
            <w:pPr>
              <w:widowControl/>
              <w:autoSpaceDE/>
              <w:autoSpaceDN/>
              <w:adjustRightInd/>
              <w:ind w:firstLine="567"/>
              <w:jc w:val="both"/>
              <w:rPr>
                <w:rFonts w:eastAsia="Calibri"/>
                <w:b/>
                <w:bCs/>
                <w:sz w:val="22"/>
                <w:szCs w:val="22"/>
                <w:lang w:val="uz-Cyrl-UZ" w:eastAsia="en-US"/>
              </w:rPr>
            </w:pPr>
            <w:r w:rsidRPr="002327E6">
              <w:rPr>
                <w:rFonts w:eastAsia="Calibri"/>
                <w:b/>
                <w:sz w:val="22"/>
                <w:szCs w:val="22"/>
                <w:lang w:val="uz-Cyrl-UZ" w:eastAsia="en-US"/>
              </w:rPr>
              <w:t>Буюртмачи</w:t>
            </w:r>
            <w:r w:rsidRPr="002327E6">
              <w:rPr>
                <w:rFonts w:eastAsia="Calibri"/>
                <w:b/>
                <w:bCs/>
                <w:sz w:val="22"/>
                <w:szCs w:val="22"/>
                <w:lang w:val="uz-Cyrl-UZ" w:eastAsia="en-US"/>
              </w:rPr>
              <w:t>:</w:t>
            </w:r>
          </w:p>
          <w:p w:rsidR="00305504" w:rsidRPr="002327E6" w:rsidRDefault="00305504" w:rsidP="00003046">
            <w:pPr>
              <w:widowControl/>
              <w:autoSpaceDE/>
              <w:autoSpaceDN/>
              <w:adjustRightInd/>
              <w:ind w:firstLine="567"/>
              <w:jc w:val="both"/>
              <w:rPr>
                <w:rFonts w:eastAsia="Calibri"/>
                <w:sz w:val="22"/>
                <w:szCs w:val="22"/>
                <w:lang w:val="uz-Cyrl-UZ" w:eastAsia="en-US"/>
              </w:rPr>
            </w:pPr>
            <w:r w:rsidRPr="002327E6">
              <w:rPr>
                <w:rFonts w:eastAsia="Calibri"/>
                <w:sz w:val="22"/>
                <w:szCs w:val="22"/>
                <w:lang w:val="uz-Cyrl-UZ" w:eastAsia="en-US"/>
              </w:rPr>
              <w:t>____________ _____________________</w:t>
            </w:r>
          </w:p>
          <w:p w:rsidR="00305504" w:rsidRPr="002327E6" w:rsidRDefault="00305504" w:rsidP="00003046">
            <w:pPr>
              <w:widowControl/>
              <w:autoSpaceDE/>
              <w:autoSpaceDN/>
              <w:adjustRightInd/>
              <w:ind w:firstLine="567"/>
              <w:jc w:val="both"/>
              <w:rPr>
                <w:rFonts w:eastAsia="Calibri"/>
                <w:sz w:val="22"/>
                <w:szCs w:val="22"/>
                <w:lang w:val="uz-Cyrl-UZ" w:eastAsia="en-US"/>
              </w:rPr>
            </w:pPr>
          </w:p>
        </w:tc>
        <w:tc>
          <w:tcPr>
            <w:tcW w:w="4678" w:type="dxa"/>
          </w:tcPr>
          <w:p w:rsidR="00305504" w:rsidRPr="002327E6" w:rsidRDefault="00305504" w:rsidP="00003046">
            <w:pPr>
              <w:widowControl/>
              <w:autoSpaceDE/>
              <w:autoSpaceDN/>
              <w:adjustRightInd/>
              <w:jc w:val="both"/>
              <w:rPr>
                <w:rFonts w:eastAsia="Calibri"/>
                <w:sz w:val="22"/>
                <w:szCs w:val="22"/>
                <w:lang w:val="uz-Cyrl-UZ" w:eastAsia="en-US"/>
              </w:rPr>
            </w:pPr>
            <w:r>
              <w:rPr>
                <w:rFonts w:eastAsia="Calibri"/>
                <w:sz w:val="22"/>
                <w:szCs w:val="22"/>
                <w:lang w:val="uz-Cyrl-UZ" w:eastAsia="en-US"/>
              </w:rPr>
              <w:t xml:space="preserve">   Пудратчи</w:t>
            </w:r>
            <w:r w:rsidRPr="002327E6">
              <w:rPr>
                <w:rFonts w:eastAsia="Calibri"/>
                <w:sz w:val="22"/>
                <w:szCs w:val="22"/>
                <w:lang w:val="uz-Cyrl-UZ" w:eastAsia="en-US"/>
              </w:rPr>
              <w:t>:</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_____________________________________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Р/с:__________________________________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Банк реквизитлари: 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МФО ________________________________</w:t>
            </w:r>
          </w:p>
          <w:p w:rsidR="00305504" w:rsidRPr="002327E6" w:rsidRDefault="00305504" w:rsidP="00003046">
            <w:pPr>
              <w:widowControl/>
              <w:autoSpaceDE/>
              <w:autoSpaceDN/>
              <w:adjustRightInd/>
              <w:ind w:left="178"/>
              <w:jc w:val="both"/>
              <w:rPr>
                <w:rFonts w:eastAsia="Calibri"/>
                <w:sz w:val="22"/>
                <w:szCs w:val="22"/>
                <w:lang w:val="uz-Cyrl-UZ" w:eastAsia="en-US"/>
              </w:rPr>
            </w:pPr>
            <w:r w:rsidRPr="002327E6">
              <w:rPr>
                <w:rFonts w:eastAsia="Calibri"/>
                <w:sz w:val="22"/>
                <w:szCs w:val="22"/>
                <w:lang w:val="uz-Cyrl-UZ" w:eastAsia="en-US"/>
              </w:rPr>
              <w:t>ИНН: ________________________________</w:t>
            </w:r>
          </w:p>
          <w:p w:rsidR="00305504" w:rsidRPr="002327E6" w:rsidRDefault="00305504" w:rsidP="00003046">
            <w:pPr>
              <w:widowControl/>
              <w:autoSpaceDE/>
              <w:autoSpaceDN/>
              <w:adjustRightInd/>
              <w:ind w:firstLine="567"/>
              <w:jc w:val="both"/>
              <w:rPr>
                <w:rFonts w:eastAsia="Calibri"/>
                <w:b/>
                <w:bCs/>
                <w:sz w:val="22"/>
                <w:szCs w:val="22"/>
                <w:lang w:val="uz-Cyrl-UZ" w:eastAsia="en-US"/>
              </w:rPr>
            </w:pPr>
            <w:r w:rsidRPr="002327E6">
              <w:rPr>
                <w:rFonts w:eastAsia="Calibri"/>
                <w:sz w:val="22"/>
                <w:szCs w:val="22"/>
                <w:lang w:val="uz-Cyrl-UZ" w:eastAsia="en-US"/>
              </w:rPr>
              <w:t>ОКЭД: ___________________________</w:t>
            </w:r>
          </w:p>
          <w:p w:rsidR="00305504" w:rsidRPr="002327E6" w:rsidRDefault="00305504" w:rsidP="00003046">
            <w:pPr>
              <w:widowControl/>
              <w:autoSpaceDE/>
              <w:autoSpaceDN/>
              <w:adjustRightInd/>
              <w:ind w:firstLine="567"/>
              <w:jc w:val="both"/>
              <w:rPr>
                <w:rFonts w:eastAsia="Calibri"/>
                <w:b/>
                <w:bCs/>
                <w:sz w:val="22"/>
                <w:szCs w:val="22"/>
                <w:lang w:val="uz-Cyrl-UZ" w:eastAsia="en-US"/>
              </w:rPr>
            </w:pPr>
          </w:p>
          <w:p w:rsidR="00305504" w:rsidRPr="002327E6" w:rsidRDefault="00305504" w:rsidP="00003046">
            <w:pPr>
              <w:widowControl/>
              <w:autoSpaceDE/>
              <w:autoSpaceDN/>
              <w:adjustRightInd/>
              <w:ind w:firstLine="567"/>
              <w:jc w:val="both"/>
              <w:rPr>
                <w:rFonts w:eastAsia="Calibri"/>
                <w:b/>
                <w:bCs/>
                <w:sz w:val="22"/>
                <w:szCs w:val="22"/>
                <w:lang w:val="uz-Cyrl-UZ" w:eastAsia="en-US"/>
              </w:rPr>
            </w:pPr>
          </w:p>
          <w:p w:rsidR="00305504" w:rsidRPr="002327E6" w:rsidRDefault="00305504" w:rsidP="00003046">
            <w:pPr>
              <w:widowControl/>
              <w:autoSpaceDE/>
              <w:autoSpaceDN/>
              <w:adjustRightInd/>
              <w:ind w:firstLine="567"/>
              <w:jc w:val="both"/>
              <w:rPr>
                <w:rFonts w:eastAsia="Calibri"/>
                <w:b/>
                <w:bCs/>
                <w:sz w:val="22"/>
                <w:szCs w:val="22"/>
                <w:lang w:val="uz-Cyrl-UZ" w:eastAsia="en-US"/>
              </w:rPr>
            </w:pPr>
            <w:r>
              <w:rPr>
                <w:rFonts w:eastAsia="Calibri"/>
                <w:b/>
                <w:sz w:val="22"/>
                <w:szCs w:val="22"/>
                <w:lang w:val="uz-Cyrl-UZ" w:eastAsia="en-US"/>
              </w:rPr>
              <w:t>Пудратчи</w:t>
            </w:r>
            <w:r w:rsidRPr="002327E6">
              <w:rPr>
                <w:rFonts w:eastAsia="Calibri"/>
                <w:b/>
                <w:bCs/>
                <w:sz w:val="22"/>
                <w:szCs w:val="22"/>
                <w:lang w:val="uz-Cyrl-UZ" w:eastAsia="en-US"/>
              </w:rPr>
              <w:t>:</w:t>
            </w:r>
          </w:p>
          <w:p w:rsidR="00305504" w:rsidRPr="002327E6" w:rsidRDefault="00305504" w:rsidP="00003046">
            <w:pPr>
              <w:widowControl/>
              <w:autoSpaceDE/>
              <w:autoSpaceDN/>
              <w:adjustRightInd/>
              <w:ind w:firstLine="567"/>
              <w:jc w:val="both"/>
              <w:rPr>
                <w:rFonts w:eastAsia="Calibri"/>
                <w:sz w:val="22"/>
                <w:szCs w:val="22"/>
                <w:lang w:val="uz-Cyrl-UZ" w:eastAsia="en-US"/>
              </w:rPr>
            </w:pPr>
            <w:r w:rsidRPr="002327E6">
              <w:rPr>
                <w:rFonts w:eastAsia="Calibri"/>
                <w:sz w:val="22"/>
                <w:szCs w:val="22"/>
                <w:lang w:val="uz-Cyrl-UZ" w:eastAsia="en-US"/>
              </w:rPr>
              <w:t>_____________ _____________________</w:t>
            </w:r>
          </w:p>
          <w:p w:rsidR="00305504" w:rsidRPr="002327E6" w:rsidRDefault="00305504" w:rsidP="00003046">
            <w:pPr>
              <w:widowControl/>
              <w:autoSpaceDE/>
              <w:autoSpaceDN/>
              <w:adjustRightInd/>
              <w:ind w:firstLine="567"/>
              <w:jc w:val="both"/>
              <w:rPr>
                <w:rFonts w:eastAsia="Calibri"/>
                <w:sz w:val="22"/>
                <w:szCs w:val="22"/>
                <w:lang w:val="uz-Cyrl-UZ" w:eastAsia="en-US"/>
              </w:rPr>
            </w:pPr>
          </w:p>
        </w:tc>
        <w:tc>
          <w:tcPr>
            <w:tcW w:w="4820" w:type="dxa"/>
          </w:tcPr>
          <w:p w:rsidR="00305504" w:rsidRPr="002327E6" w:rsidRDefault="00305504" w:rsidP="00003046">
            <w:pPr>
              <w:widowControl/>
              <w:autoSpaceDE/>
              <w:autoSpaceDN/>
              <w:adjustRightInd/>
              <w:ind w:firstLine="567"/>
              <w:jc w:val="both"/>
              <w:rPr>
                <w:rFonts w:eastAsia="Calibri"/>
                <w:sz w:val="22"/>
                <w:szCs w:val="22"/>
                <w:lang w:val="uz-Cyrl-UZ" w:eastAsia="en-US"/>
              </w:rPr>
            </w:pPr>
          </w:p>
        </w:tc>
      </w:tr>
    </w:tbl>
    <w:p w:rsidR="00305504" w:rsidRPr="002327E6" w:rsidRDefault="00305504" w:rsidP="00305504">
      <w:pPr>
        <w:widowControl/>
        <w:autoSpaceDE/>
        <w:autoSpaceDN/>
        <w:adjustRightInd/>
        <w:spacing w:after="160" w:line="259" w:lineRule="auto"/>
        <w:rPr>
          <w:rFonts w:eastAsia="Calibri"/>
          <w:sz w:val="22"/>
          <w:szCs w:val="22"/>
          <w:lang w:val="uz-Cyrl-UZ" w:eastAsia="en-US"/>
        </w:rPr>
      </w:pPr>
    </w:p>
    <w:p w:rsidR="00324271" w:rsidRDefault="00324271"/>
    <w:sectPr w:rsidR="00324271" w:rsidSect="00D1545E">
      <w:footerReference w:type="even" r:id="rId5"/>
      <w:footerReference w:type="default" r:id="rId6"/>
      <w:pgSz w:w="11909" w:h="16834"/>
      <w:pgMar w:top="568" w:right="851" w:bottom="0"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8E" w:rsidRDefault="00305504" w:rsidP="00DC2C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2518E" w:rsidRDefault="00305504" w:rsidP="003460D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18E" w:rsidRDefault="00305504" w:rsidP="004A6E1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92518E" w:rsidRDefault="00305504" w:rsidP="003460DC">
    <w:pPr>
      <w:pStyle w:val="a3"/>
      <w:ind w:right="360"/>
    </w:pPr>
  </w:p>
  <w:p w:rsidR="0092518E" w:rsidRDefault="00305504"/>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7B"/>
    <w:rsid w:val="00305504"/>
    <w:rsid w:val="00324271"/>
    <w:rsid w:val="00CC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3366"/>
  <w15:chartTrackingRefBased/>
  <w15:docId w15:val="{2C122228-CE32-4ADC-8991-B88D4002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50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05504"/>
    <w:pPr>
      <w:tabs>
        <w:tab w:val="center" w:pos="4153"/>
        <w:tab w:val="right" w:pos="8306"/>
      </w:tabs>
    </w:pPr>
  </w:style>
  <w:style w:type="character" w:customStyle="1" w:styleId="a4">
    <w:name w:val="Нижний колонтитул Знак"/>
    <w:basedOn w:val="a0"/>
    <w:link w:val="a3"/>
    <w:uiPriority w:val="99"/>
    <w:rsid w:val="00305504"/>
    <w:rPr>
      <w:rFonts w:ascii="Times New Roman" w:eastAsia="Times New Roman" w:hAnsi="Times New Roman" w:cs="Times New Roman"/>
      <w:sz w:val="20"/>
      <w:szCs w:val="20"/>
      <w:lang w:eastAsia="ru-RU"/>
    </w:rPr>
  </w:style>
  <w:style w:type="character" w:styleId="a5">
    <w:name w:val="page number"/>
    <w:basedOn w:val="a0"/>
    <w:rsid w:val="0030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2262</Words>
  <Characters>12897</Characters>
  <Application>Microsoft Office Word</Application>
  <DocSecurity>0</DocSecurity>
  <Lines>107</Lines>
  <Paragraphs>30</Paragraphs>
  <ScaleCrop>false</ScaleCrop>
  <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2022-10-19T11:29:00Z</dcterms:created>
  <dcterms:modified xsi:type="dcterms:W3CDTF">2022-10-19T11:31:00Z</dcterms:modified>
</cp:coreProperties>
</file>