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35" w:rsidRPr="004866A5" w:rsidRDefault="00BC192A" w:rsidP="008A2735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</w:rPr>
      </w:pPr>
      <w:r w:rsidRPr="007E4531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                                                </w:t>
      </w:r>
      <w:r w:rsidR="00991EF2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     HISOB-SHARTNOMA № </w:t>
      </w:r>
      <w:r w:rsidR="004866A5">
        <w:rPr>
          <w:rStyle w:val="a5"/>
          <w:rFonts w:ascii="Times New Roman" w:hAnsi="Times New Roman"/>
          <w:b/>
          <w:i w:val="0"/>
          <w:sz w:val="20"/>
          <w:szCs w:val="20"/>
        </w:rPr>
        <w:t>25/10</w:t>
      </w:r>
    </w:p>
    <w:p w:rsidR="0086267D" w:rsidRPr="008A2735" w:rsidRDefault="0086267D" w:rsidP="008A2735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</w:p>
    <w:p w:rsidR="008A2735" w:rsidRDefault="008A2735" w:rsidP="008A2735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YuqoriChirchiqtumani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ab/>
      </w:r>
      <w:r w:rsidR="00BC192A" w:rsidRPr="00D3234F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                                                                                                        </w:t>
      </w:r>
      <w:r w:rsidR="007E4531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     </w:t>
      </w:r>
      <w:proofErr w:type="spellStart"/>
      <w:proofErr w:type="gramStart"/>
      <w:r w:rsidR="007E4531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oktabr</w:t>
      </w:r>
      <w:proofErr w:type="spellEnd"/>
      <w:r w:rsidR="001A7803" w:rsidRPr="008B61DF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r w:rsidR="001F2B6D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2022</w:t>
      </w:r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yil</w:t>
      </w:r>
      <w:proofErr w:type="gramEnd"/>
    </w:p>
    <w:p w:rsidR="0086267D" w:rsidRPr="008A2735" w:rsidRDefault="0086267D" w:rsidP="008A2735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</w:p>
    <w:p w:rsidR="00BC192A" w:rsidRPr="00BC192A" w:rsidRDefault="008A2735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Asosiy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Nizom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asosida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ish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yuritadigan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bundan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keyin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"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Sotuvchi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"</w:t>
      </w: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deb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nomlanadigan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DX </w:t>
      </w: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«</w:t>
      </w:r>
      <w:r w:rsidRPr="008A2735">
        <w:rPr>
          <w:rStyle w:val="a4"/>
          <w:rFonts w:ascii="Times New Roman" w:hAnsi="Times New Roman"/>
          <w:i w:val="0"/>
          <w:sz w:val="20"/>
          <w:szCs w:val="20"/>
          <w:lang w:val="en-US"/>
        </w:rPr>
        <w:t>FARXOD SUT</w:t>
      </w:r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»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vakil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r w:rsid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director</w:t>
      </w:r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714C34" w:rsidRPr="00714C34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Risqiboyev</w:t>
      </w:r>
      <w:proofErr w:type="spellEnd"/>
      <w:r w:rsidR="00714C34" w:rsidRPr="00714C34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F.</w:t>
      </w:r>
      <w:r w:rsidRPr="00714C34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G’</w:t>
      </w:r>
      <w:r w:rsidR="00BC192A"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bir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bosha</w:t>
      </w:r>
      <w:r w:rsid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qa</w:t>
      </w:r>
      <w:proofErr w:type="spellEnd"/>
      <w:r w:rsid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tomondan</w:t>
      </w:r>
      <w:proofErr w:type="spellEnd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r w:rsidR="001A7803" w:rsidRPr="001A7803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1A7803">
        <w:rPr>
          <w:rStyle w:val="a5"/>
          <w:rFonts w:ascii="Times New Roman" w:hAnsi="Times New Roman"/>
          <w:i w:val="0"/>
          <w:sz w:val="20"/>
          <w:szCs w:val="20"/>
          <w:lang w:val="en-US"/>
        </w:rPr>
        <w:t>Yuqori</w:t>
      </w:r>
      <w:proofErr w:type="spellEnd"/>
      <w:r w:rsidR="001A7803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1A7803">
        <w:rPr>
          <w:rStyle w:val="a5"/>
          <w:rFonts w:ascii="Times New Roman" w:hAnsi="Times New Roman"/>
          <w:i w:val="0"/>
          <w:sz w:val="20"/>
          <w:szCs w:val="20"/>
          <w:lang w:val="en-US"/>
        </w:rPr>
        <w:t>CHirchiq</w:t>
      </w:r>
      <w:proofErr w:type="spellEnd"/>
      <w:r w:rsidR="001A7803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1A7803">
        <w:rPr>
          <w:rStyle w:val="a5"/>
          <w:rFonts w:ascii="Times New Roman" w:hAnsi="Times New Roman"/>
          <w:i w:val="0"/>
          <w:sz w:val="20"/>
          <w:szCs w:val="20"/>
          <w:lang w:val="en-US"/>
        </w:rPr>
        <w:t>tuman</w:t>
      </w:r>
      <w:proofErr w:type="spellEnd"/>
      <w:r w:rsidR="001A7803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MTB </w:t>
      </w:r>
      <w:proofErr w:type="spellStart"/>
      <w:r w:rsidR="001A7803">
        <w:rPr>
          <w:rStyle w:val="a5"/>
          <w:rFonts w:ascii="Times New Roman" w:hAnsi="Times New Roman"/>
          <w:i w:val="0"/>
          <w:sz w:val="20"/>
          <w:szCs w:val="20"/>
          <w:lang w:val="en-US"/>
        </w:rPr>
        <w:t>mudiri</w:t>
      </w:r>
      <w:proofErr w:type="spellEnd"/>
      <w:r w:rsidR="001A7803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 </w:t>
      </w:r>
      <w:proofErr w:type="spellStart"/>
      <w:r w:rsidR="007E4531" w:rsidRPr="007E4531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D.Artik</w:t>
      </w:r>
      <w:r w:rsidR="001A7803" w:rsidRPr="007E4531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ova</w:t>
      </w:r>
      <w:proofErr w:type="spellEnd"/>
      <w:r w:rsidR="001A7803" w:rsidRPr="001A7803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r w:rsid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r w:rsidR="00BC192A" w:rsidRPr="00BC192A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bundan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keyin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r w:rsidR="00BC192A"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"</w:t>
      </w:r>
      <w:proofErr w:type="spellStart"/>
      <w:r w:rsidR="00BC192A"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Xaridor</w:t>
      </w:r>
      <w:proofErr w:type="spellEnd"/>
      <w:r w:rsidR="00BC192A"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"</w:t>
      </w:r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deb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nomlanadigan,uslibu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Nizom</w:t>
      </w:r>
      <w:proofErr w:type="spellEnd"/>
      <w:r w:rsidR="00BC192A" w:rsidRPr="000F660C">
        <w:rPr>
          <w:rStyle w:val="a5"/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asosida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ish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yurituvchi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shaxs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tomonidan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quyidagilar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bo'yicha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tuzdilar</w:t>
      </w:r>
      <w:proofErr w:type="spellEnd"/>
      <w:r w:rsidR="00BC192A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: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                                                                </w:t>
      </w:r>
      <w:proofErr w:type="gram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1.Shartnoma</w:t>
      </w:r>
      <w:proofErr w:type="gram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mavzusi</w:t>
      </w:r>
      <w:proofErr w:type="spellEnd"/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1.1Ushbu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muvofiq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,</w:t>
      </w:r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"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Sotuvchi</w:t>
      </w:r>
      <w:proofErr w:type="spell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""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Xaridor"</w:t>
      </w: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egalik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huquqini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topshirishni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o'z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zimmasiga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oladi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“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”</w:t>
      </w:r>
    </w:p>
    <w:p w:rsidR="008A2735" w:rsidRPr="008A2735" w:rsidRDefault="008A2735" w:rsidP="008A2735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41"/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559"/>
        <w:gridCol w:w="850"/>
        <w:gridCol w:w="993"/>
        <w:gridCol w:w="1125"/>
        <w:gridCol w:w="1269"/>
        <w:gridCol w:w="1335"/>
        <w:gridCol w:w="2082"/>
      </w:tblGrid>
      <w:tr w:rsidR="00F70DC7" w:rsidRPr="008A2735" w:rsidTr="001A7803">
        <w:trPr>
          <w:trHeight w:val="69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DC7" w:rsidRPr="008A2735" w:rsidRDefault="00F70DC7" w:rsidP="00F70DC7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DC7" w:rsidRPr="008A2735" w:rsidRDefault="00F70DC7" w:rsidP="00F70DC7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proofErr w:type="spellStart"/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Mahsulotnomi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DC7" w:rsidRPr="008A2735" w:rsidRDefault="00F70DC7" w:rsidP="00F70DC7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proofErr w:type="spellStart"/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O'lchov</w:t>
            </w:r>
            <w:proofErr w:type="spellEnd"/>
            <w:r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 xml:space="preserve"> </w:t>
            </w:r>
            <w:proofErr w:type="spellStart"/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birligi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DC7" w:rsidRPr="008A2735" w:rsidRDefault="00F70DC7" w:rsidP="00F70DC7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proofErr w:type="spellStart"/>
            <w:r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Miqdori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DC7" w:rsidRPr="008A2735" w:rsidRDefault="00F70DC7" w:rsidP="00F70DC7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proofErr w:type="spellStart"/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Narxi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DC7" w:rsidRPr="00F70DC7" w:rsidRDefault="00F70DC7" w:rsidP="00F70DC7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</w:pPr>
            <w:r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Summa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0DC7" w:rsidRPr="00F9730E" w:rsidRDefault="00F70DC7" w:rsidP="00F70DC7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</w:pPr>
            <w:r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 xml:space="preserve"> 15% QQS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0DC7" w:rsidRPr="00F9730E" w:rsidRDefault="00F70DC7" w:rsidP="00F70DC7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</w:pPr>
            <w:proofErr w:type="spellStart"/>
            <w:r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Umumiy</w:t>
            </w:r>
            <w:proofErr w:type="spellEnd"/>
            <w:r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 xml:space="preserve"> summa QQS </w:t>
            </w:r>
            <w:proofErr w:type="spellStart"/>
            <w:r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bn</w:t>
            </w:r>
            <w:proofErr w:type="spellEnd"/>
          </w:p>
        </w:tc>
      </w:tr>
      <w:tr w:rsidR="00F70DC7" w:rsidRPr="008A2735" w:rsidTr="00F70DC7">
        <w:trPr>
          <w:trHeight w:val="2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DC7" w:rsidRPr="008A2735" w:rsidRDefault="00F70DC7" w:rsidP="00F70DC7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0DC7" w:rsidRPr="004866A5" w:rsidRDefault="00A1396B" w:rsidP="00F70DC7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  <w:proofErr w:type="spellStart"/>
            <w:r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  <w:t>Сабзи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0DC7" w:rsidRPr="004866A5" w:rsidRDefault="004866A5" w:rsidP="00F70DC7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0DC7" w:rsidRPr="004866A5" w:rsidRDefault="00A1396B" w:rsidP="00F70DC7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  <w:t>7</w:t>
            </w:r>
            <w:r w:rsidR="004866A5"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0DC7" w:rsidRPr="004866A5" w:rsidRDefault="00A1396B" w:rsidP="00F70DC7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  <w:t>4</w:t>
            </w:r>
            <w:r w:rsidR="005A5C65"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  <w:t>0</w:t>
            </w:r>
            <w:r w:rsidR="004866A5"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  <w:t>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0DC7" w:rsidRPr="004866A5" w:rsidRDefault="00A1396B" w:rsidP="00F70DC7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  <w:t>29 2</w:t>
            </w:r>
            <w:r w:rsidR="005A5C65"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  <w:t>00</w:t>
            </w:r>
            <w:r w:rsidR="004866A5"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  <w:t xml:space="preserve"> 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DC7" w:rsidRPr="00F70DC7" w:rsidRDefault="00F70DC7" w:rsidP="00F70DC7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DC7" w:rsidRPr="00F9730E" w:rsidRDefault="00F70DC7" w:rsidP="00F70DC7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</w:tr>
      <w:tr w:rsidR="00F70DC7" w:rsidRPr="008A2735" w:rsidTr="00F70DC7">
        <w:trPr>
          <w:trHeight w:val="2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DC7" w:rsidRPr="008A2735" w:rsidRDefault="00F70DC7" w:rsidP="00F70DC7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0DC7" w:rsidRPr="004866A5" w:rsidRDefault="00F70DC7" w:rsidP="00F70DC7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DC7" w:rsidRPr="004866A5" w:rsidRDefault="00F70DC7" w:rsidP="00F70DC7">
            <w:pPr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0DC7" w:rsidRPr="000C482A" w:rsidRDefault="00F70DC7" w:rsidP="000C482A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0DC7" w:rsidRPr="000C482A" w:rsidRDefault="00F70DC7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0DC7" w:rsidRPr="000C482A" w:rsidRDefault="00F70DC7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DC7" w:rsidRPr="000C482A" w:rsidRDefault="00F70DC7" w:rsidP="000C482A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DC7" w:rsidRPr="00F9730E" w:rsidRDefault="00F70DC7" w:rsidP="000C482A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</w:tr>
      <w:tr w:rsidR="00F70DC7" w:rsidRPr="008A2735" w:rsidTr="00F70DC7">
        <w:trPr>
          <w:trHeight w:val="2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DC7" w:rsidRPr="008A2735" w:rsidRDefault="00F70DC7" w:rsidP="00F70DC7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0DC7" w:rsidRPr="00F9730E" w:rsidRDefault="00F70DC7" w:rsidP="00F70DC7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0DC7" w:rsidRDefault="00F70DC7" w:rsidP="00F70DC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0DC7" w:rsidRPr="001A7803" w:rsidRDefault="00F70DC7" w:rsidP="00F70DC7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0DC7" w:rsidRPr="00F70DC7" w:rsidRDefault="00F70DC7" w:rsidP="00F70DC7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0DC7" w:rsidRPr="00F70DC7" w:rsidRDefault="00F70DC7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DC7" w:rsidRPr="00F70DC7" w:rsidRDefault="00F70DC7" w:rsidP="00F70DC7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0DC7" w:rsidRPr="00F9730E" w:rsidRDefault="00F70DC7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</w:tr>
      <w:tr w:rsidR="001A7803" w:rsidRPr="008A2735" w:rsidTr="00F70DC7">
        <w:trPr>
          <w:trHeight w:val="2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803" w:rsidRPr="008A2735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1A7803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803" w:rsidRDefault="001A7803" w:rsidP="001A78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1A7803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F70DC7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F70DC7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803" w:rsidRPr="00F70DC7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803" w:rsidRPr="008A2735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1A7803" w:rsidRPr="008A2735" w:rsidTr="00F70DC7">
        <w:trPr>
          <w:trHeight w:val="2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803" w:rsidRPr="008A2735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F9730E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803" w:rsidRDefault="001A7803" w:rsidP="001A78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1A7803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F70DC7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F70DC7" w:rsidRDefault="001A7803" w:rsidP="00AD10C9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803" w:rsidRPr="00C152FE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803" w:rsidRPr="00AD10C9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</w:tr>
      <w:tr w:rsidR="001A7803" w:rsidRPr="008A2735" w:rsidTr="00F70DC7">
        <w:trPr>
          <w:trHeight w:val="2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803" w:rsidRPr="008A2735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F9730E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803" w:rsidRDefault="001A7803" w:rsidP="001A78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AD10C9" w:rsidRDefault="001A7803" w:rsidP="00AD10C9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F70DC7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F70DC7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803" w:rsidRPr="00C152FE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803" w:rsidRPr="00AD10C9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</w:tr>
      <w:tr w:rsidR="001A7803" w:rsidRPr="008A2735" w:rsidTr="00F70DC7">
        <w:trPr>
          <w:trHeight w:val="2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803" w:rsidRPr="008A2735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F9730E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803" w:rsidRDefault="001A7803" w:rsidP="001A78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8A2735" w:rsidRDefault="001A7803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F70DC7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F70DC7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803" w:rsidRPr="00C152FE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803" w:rsidRPr="0044338C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</w:tr>
      <w:tr w:rsidR="001A7803" w:rsidRPr="008A2735" w:rsidTr="00F70DC7">
        <w:trPr>
          <w:trHeight w:val="2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803" w:rsidRPr="008A2735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F9730E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803" w:rsidRDefault="001A7803" w:rsidP="001A78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44338C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F70DC7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803" w:rsidRPr="00F70DC7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803" w:rsidRPr="00C152FE" w:rsidRDefault="001A7803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803" w:rsidRPr="0044338C" w:rsidRDefault="001A7803" w:rsidP="001A7803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</w:tr>
      <w:tr w:rsidR="0044338C" w:rsidRPr="008A2735" w:rsidTr="009E2709">
        <w:trPr>
          <w:trHeight w:val="2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38C" w:rsidRPr="008A2735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38C" w:rsidRPr="00F9730E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38C" w:rsidRDefault="0044338C" w:rsidP="0044338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38C" w:rsidRPr="0044338C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38C" w:rsidRPr="00F70DC7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38C" w:rsidRPr="00F70DC7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338C" w:rsidRPr="00C152FE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338C" w:rsidRPr="0044338C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</w:tr>
      <w:tr w:rsidR="0044338C" w:rsidRPr="008A2735" w:rsidTr="00F70DC7">
        <w:trPr>
          <w:trHeight w:val="2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38C" w:rsidRPr="008A2735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38C" w:rsidRPr="00F9730E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38C" w:rsidRPr="00F9730E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38C" w:rsidRPr="008A2735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38C" w:rsidRPr="00F70DC7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38C" w:rsidRPr="00F70DC7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338C" w:rsidRPr="00C152FE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338C" w:rsidRPr="008A2735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44338C" w:rsidRPr="008A2735" w:rsidTr="00F70DC7">
        <w:trPr>
          <w:trHeight w:val="2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38C" w:rsidRPr="008A2735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38C" w:rsidRPr="00F9730E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38C" w:rsidRPr="00F9730E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38C" w:rsidRPr="008A2735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38C" w:rsidRPr="00F70DC7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38C" w:rsidRPr="00F70DC7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338C" w:rsidRPr="00C152FE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338C" w:rsidRPr="008A2735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44338C" w:rsidRPr="008A2735" w:rsidTr="00F70DC7">
        <w:trPr>
          <w:trHeight w:val="2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38C" w:rsidRPr="008A2735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</w:pPr>
            <w:r w:rsidRPr="008A273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38C" w:rsidRPr="00F9730E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38C" w:rsidRPr="00F9730E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38C" w:rsidRPr="008A2735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38C" w:rsidRPr="00F70DC7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338C" w:rsidRPr="00F70DC7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338C" w:rsidRPr="00C152FE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338C" w:rsidRPr="008A2735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</w:rPr>
            </w:pPr>
          </w:p>
        </w:tc>
      </w:tr>
      <w:tr w:rsidR="0044338C" w:rsidRPr="008A2735" w:rsidTr="00F70DC7">
        <w:trPr>
          <w:trHeight w:val="326"/>
        </w:trPr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38C" w:rsidRPr="008A2735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38C" w:rsidRPr="00C152FE" w:rsidRDefault="0044338C" w:rsidP="0044338C">
            <w:pPr>
              <w:pStyle w:val="a3"/>
              <w:jc w:val="both"/>
              <w:rPr>
                <w:rStyle w:val="a5"/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38C" w:rsidRPr="004866A5" w:rsidRDefault="00A1396B" w:rsidP="0044338C">
            <w:pPr>
              <w:pStyle w:val="a3"/>
              <w:jc w:val="both"/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29 2</w:t>
            </w:r>
            <w:r w:rsidR="005A5C65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>00</w:t>
            </w:r>
            <w:r w:rsidR="00F0795E">
              <w:rPr>
                <w:rStyle w:val="a5"/>
                <w:rFonts w:ascii="Times New Roman" w:hAnsi="Times New Roman"/>
                <w:b/>
                <w:i w:val="0"/>
                <w:sz w:val="20"/>
                <w:szCs w:val="20"/>
              </w:rPr>
              <w:t xml:space="preserve"> 000</w:t>
            </w:r>
          </w:p>
        </w:tc>
      </w:tr>
    </w:tbl>
    <w:p w:rsidR="008A2735" w:rsidRPr="00BC192A" w:rsidRDefault="008A2735" w:rsidP="008A2735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1.2</w:t>
      </w:r>
      <w:r w:rsidR="00991EF2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  <w:proofErr w:type="spellStart"/>
      <w:r w:rsidR="00991EF2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Shartnomaning</w:t>
      </w:r>
      <w:proofErr w:type="spellEnd"/>
      <w:r w:rsid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991EF2">
        <w:rPr>
          <w:rStyle w:val="a5"/>
          <w:rFonts w:ascii="Times New Roman" w:hAnsi="Times New Roman"/>
          <w:i w:val="0"/>
          <w:sz w:val="20"/>
          <w:szCs w:val="20"/>
          <w:lang w:val="en-US"/>
        </w:rPr>
        <w:t>umumiy</w:t>
      </w:r>
      <w:proofErr w:type="spellEnd"/>
      <w:r w:rsid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991EF2">
        <w:rPr>
          <w:rStyle w:val="a5"/>
          <w:rFonts w:ascii="Times New Roman" w:hAnsi="Times New Roman"/>
          <w:i w:val="0"/>
          <w:sz w:val="20"/>
          <w:szCs w:val="20"/>
          <w:lang w:val="en-US"/>
        </w:rPr>
        <w:t>miqdori</w:t>
      </w:r>
      <w:proofErr w:type="spellEnd"/>
      <w:r w:rsidR="00991EF2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: </w:t>
      </w:r>
      <w:proofErr w:type="spellStart"/>
      <w:r w:rsidR="00A1396B">
        <w:rPr>
          <w:rStyle w:val="a5"/>
          <w:rFonts w:ascii="Times New Roman" w:hAnsi="Times New Roman"/>
          <w:i w:val="0"/>
          <w:sz w:val="20"/>
          <w:szCs w:val="20"/>
        </w:rPr>
        <w:t>Йигирта</w:t>
      </w:r>
      <w:proofErr w:type="spellEnd"/>
      <w:r w:rsidR="00A1396B" w:rsidRPr="00A1396B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A1396B">
        <w:rPr>
          <w:rStyle w:val="a5"/>
          <w:rFonts w:ascii="Times New Roman" w:hAnsi="Times New Roman"/>
          <w:i w:val="0"/>
          <w:sz w:val="20"/>
          <w:szCs w:val="20"/>
        </w:rPr>
        <w:t>туккиз</w:t>
      </w:r>
      <w:proofErr w:type="spellEnd"/>
      <w:r w:rsidR="00A1396B" w:rsidRPr="00A1396B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r w:rsidR="00A1396B">
        <w:rPr>
          <w:rStyle w:val="a5"/>
          <w:rFonts w:ascii="Times New Roman" w:hAnsi="Times New Roman"/>
          <w:i w:val="0"/>
          <w:sz w:val="20"/>
          <w:szCs w:val="20"/>
        </w:rPr>
        <w:t>миллион</w:t>
      </w:r>
      <w:r w:rsidR="00A1396B" w:rsidRPr="00A1396B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A1396B">
        <w:rPr>
          <w:rStyle w:val="a5"/>
          <w:rFonts w:ascii="Times New Roman" w:hAnsi="Times New Roman"/>
          <w:i w:val="0"/>
          <w:sz w:val="20"/>
          <w:szCs w:val="20"/>
        </w:rPr>
        <w:t>икки</w:t>
      </w:r>
      <w:proofErr w:type="spellEnd"/>
      <w:r w:rsidR="00A1396B" w:rsidRPr="00A1396B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r w:rsidR="00A1396B">
        <w:rPr>
          <w:rStyle w:val="a5"/>
          <w:rFonts w:ascii="Times New Roman" w:hAnsi="Times New Roman"/>
          <w:i w:val="0"/>
          <w:sz w:val="20"/>
          <w:szCs w:val="20"/>
        </w:rPr>
        <w:t>юз</w:t>
      </w:r>
      <w:r w:rsidR="00A1396B" w:rsidRPr="00A1396B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="00A1396B">
        <w:rPr>
          <w:rStyle w:val="a5"/>
          <w:rFonts w:ascii="Times New Roman" w:hAnsi="Times New Roman"/>
          <w:i w:val="0"/>
          <w:sz w:val="20"/>
          <w:szCs w:val="20"/>
        </w:rPr>
        <w:t>минг</w:t>
      </w:r>
      <w:proofErr w:type="spellEnd"/>
      <w:r w:rsid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r w:rsidR="000C48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="00991EF2">
        <w:rPr>
          <w:rStyle w:val="a5"/>
          <w:rFonts w:ascii="Times New Roman" w:hAnsi="Times New Roman"/>
          <w:i w:val="0"/>
          <w:sz w:val="20"/>
          <w:szCs w:val="20"/>
          <w:lang w:val="en-US"/>
        </w:rPr>
        <w:t>so</w:t>
      </w:r>
      <w:r w:rsidR="00991EF2"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’</w:t>
      </w:r>
      <w:r w:rsidR="00991EF2">
        <w:rPr>
          <w:rStyle w:val="a5"/>
          <w:rFonts w:ascii="Times New Roman" w:hAnsi="Times New Roman"/>
          <w:i w:val="0"/>
          <w:sz w:val="20"/>
          <w:szCs w:val="20"/>
          <w:lang w:val="en-US"/>
        </w:rPr>
        <w:t>mni</w:t>
      </w:r>
      <w:proofErr w:type="spellEnd"/>
      <w:proofErr w:type="gramEnd"/>
      <w:r w:rsid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tashkil</w:t>
      </w:r>
      <w:proofErr w:type="spellEnd"/>
      <w:r w:rsid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8A2735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qiladi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                                                                      </w:t>
      </w:r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2.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To'lov</w:t>
      </w:r>
      <w:proofErr w:type="spell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shartlari</w:t>
      </w:r>
      <w:proofErr w:type="spellEnd"/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2.1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tuzilgan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O'zbekiston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Respublikasi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Moliya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vazirligi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G'aznachiligida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ro'yxatdan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o'tgan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10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kundan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boshlab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bir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necha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kun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ichida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summasining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30 %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miqdorida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avans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to'lovini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oshiradi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2.2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Qolgan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70 % "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tomonidan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hisob-fakturadagi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tovarlarni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olgandan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keyin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to'laydi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                                             </w:t>
      </w:r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3.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Tomonlarning</w:t>
      </w:r>
      <w:proofErr w:type="spell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huquqlari</w:t>
      </w:r>
      <w:proofErr w:type="spell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va</w:t>
      </w:r>
      <w:proofErr w:type="spellEnd"/>
      <w:proofErr w:type="gram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majburiyatlari</w:t>
      </w:r>
      <w:proofErr w:type="spellEnd"/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3.1 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</w:t>
      </w:r>
      <w:proofErr w:type="spellEnd"/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bo'yicha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o'z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zimmasiga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olgan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majburiyatlarni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bajannaganlik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lozim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darajada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bajarmaganlik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uchun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belgilangan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qonuniy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tartibda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o’zaro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javobgardirlar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3.2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quyidag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ihuquqlarga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ega</w:t>
      </w:r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:Davlat</w:t>
      </w:r>
      <w:proofErr w:type="spellEnd"/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boshqa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organlarga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mansabdor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shaxslarga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iltimosnomalar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shikoyatlarni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yuborish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ulardan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o'zgartirish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bekor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to'g'risida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yozma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asosli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javoblami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olish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Agar "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qonunni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boshqa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huquqiy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hujjatlami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buzgan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holda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tovarlarni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qabul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qilmasa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qabul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bosh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tortsa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, "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Sotuvchi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" "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tovami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qabul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bajarishni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rad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etishni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talab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haqlidir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Agar "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Sotuvchi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sotilgan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"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topshirishdan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bosh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tortsa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, "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bajarishdan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bosh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tortishga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haqlidir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  <w:proofErr w:type="gramEnd"/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3.3"Sotuvchi"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majburiydir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:"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sifatli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tovar-fakturada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ko'rsatilgan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miqdorda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tovarlarni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o'tkazish.Tovarlaming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sifati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ishlab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chiqaruvchining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muvofiqlik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sertifikati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bilan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tasdiqlanishi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, GOST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TU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talablariga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muvofiq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bo'lishi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kerak.Tovarlarning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muddati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ulaming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muddati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tugashidan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oldin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etkazib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sanasida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tovarlarning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yaroqlilik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muddatining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kamida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50%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bo'lishi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kerak.Joriy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hisob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varag'iga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mablag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’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tushganidan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keyin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10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kunidan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kechiktirmay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tovarlarni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ombordan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chiqarilishini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"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o'z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kuchlari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vositalari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bilan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etkazib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berilishini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ta'minlash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kerak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3.4 "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majburdir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: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Ozining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omboriga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tovarlarni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qabul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ta'minlash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Tovarlarni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qabul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qilinganda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ulaming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miqdori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sifati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bo'yicha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tekshirish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tegishli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hujjatlami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rasmiylashtirish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imzolash.Ushbu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2-bandiga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muvofiq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tovarlarni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to'lash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bookmarkStart w:id="0" w:name="_GoBack"/>
      <w:bookmarkEnd w:id="0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</w:t>
      </w:r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                                                      </w:t>
      </w:r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4.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Nizolarni</w:t>
      </w:r>
      <w:proofErr w:type="spell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hal</w:t>
      </w:r>
      <w:proofErr w:type="spell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qilish</w:t>
      </w:r>
      <w:proofErr w:type="spell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tartibi</w:t>
      </w:r>
      <w:proofErr w:type="spellEnd"/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4.1Ushbu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unga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aloqador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barcha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nizolar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kelishmovchiliklar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tinchlik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yo'li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bilan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hal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qilinishi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kerak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  <w:proofErr w:type="spellStart"/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Yengib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bo'lmaydigan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kelishmovchiliklar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qonun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hujjatlarida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belgilangan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tartibda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Toshkent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igtisodiy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sudigako'rib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chiqish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Uchun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taqdim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etilishi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kerak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Yuqoridagi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sudning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qarori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ikki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uchun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ham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majburiydir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  <w:proofErr w:type="gramEnd"/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4.2</w:t>
      </w:r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.Pul</w:t>
      </w:r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o’tkazmalarining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kechikishi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uchun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(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2.1-bandi, "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" "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Sotuvchi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to’lov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miqdorida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kechiktirilgan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bir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kun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uchun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muddati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o'tgan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to'lov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summasining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0,4 %,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lekin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muddati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o'tgan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summaning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50%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ko'p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emas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penya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to'laydi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lastRenderedPageBreak/>
        <w:t xml:space="preserve">4.3."Xaridorga"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tovarlami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topshirish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etkazib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berishni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kechiktirishi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uchun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(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3.4-bandi), "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Sotuvchi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" "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Xaridor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"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bajarilmagan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qismidan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0</w:t>
      </w:r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,4</w:t>
      </w:r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%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miqdorida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penya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to'laydi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lekin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kechiktirilgan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bir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kun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uchun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o’z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vaqtida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etkazib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berilmagan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tovarlar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miqdoridan50 %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ko'p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emas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4.4</w:t>
      </w:r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,Jarima</w:t>
      </w:r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(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jarima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penya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)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to'lashidan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qat'iy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nazar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bo'yicha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o'z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majburiyatlarini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javobgarligidan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ozod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qilinmaydi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  <w:proofErr w:type="spellStart"/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bo'yicha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majburiyatlami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buzgan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boshqa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buning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natijasida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etkazilgan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zararni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qoplashi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Zararlarga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bir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tarafidan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bo'yicha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majburiyatlarning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bajarilmasligi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lozim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darajada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bajarilmasligi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, mol-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mulkning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yo'qolishi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buzilishi</w:t>
      </w:r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,shuningdek</w:t>
      </w:r>
      <w:proofErr w:type="spellEnd"/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agar u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boshqa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belgilangan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tartibda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taqdirda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u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oladigan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daromadni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ololmasligi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bilan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bog'liq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xarajatlar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majburiyatlariga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kiradi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                                                                 </w:t>
      </w:r>
      <w:proofErr w:type="gram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5.Fors</w:t>
      </w:r>
      <w:proofErr w:type="gram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-Major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5.1</w:t>
      </w:r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.Tomonlar</w:t>
      </w:r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bo'yicha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majburiyatlami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qisman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to'liq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bajarmaganlik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uchun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javobgarlikdan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ozod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qilinadi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agar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muvaffaqiyatsizlik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muqarrar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kuchning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natijasi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bo'lsa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5.2</w:t>
      </w:r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.Fors</w:t>
      </w:r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-major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holatlari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yuzaga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taqdirda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darhol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haqda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bir-birlariga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xabar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berishadi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vaShartnomani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yanada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oshirish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imkoniyatlarini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aniqlash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uchun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muzokaralar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olib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boradilar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5-3.Fors-major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holatlariga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duch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nazorat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ostiga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olinmaydigan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to'siqlarga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duch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holat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to'siqlar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yuzaga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paytdan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boshlab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3 kun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ichida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boshqa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yuzaga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holat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to'g'risida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yozma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ravishda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xabar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berishga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majburdir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Agar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fors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-major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holatlari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boshlanganidan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keyin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3 kun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ichida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bildirishnoma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berilmagan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bo'lsa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ulami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yuzaga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keltirgan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nazoratidan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tashqarida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to'siqqa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duch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agar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vaziyatning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o'zi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ulami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himoya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imkon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benuasa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ularga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xabarnoma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yuborish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orqali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murojaat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huquqidan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mahrum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bo'ladi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Agar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fors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-major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holatlari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30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kundan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ortiq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davom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etsa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majburiyatlarsiz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etkazilgan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zararni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qoplash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jarimalarsiz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bekor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huquqiga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egadirlar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                       </w:t>
      </w:r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6.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Taraflarning</w:t>
      </w:r>
      <w:proofErr w:type="spell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korrupsiyaga</w:t>
      </w:r>
      <w:proofErr w:type="spell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qarshi</w:t>
      </w:r>
      <w:proofErr w:type="spell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kurashish</w:t>
      </w:r>
      <w:proofErr w:type="spell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bo’yicha</w:t>
      </w:r>
      <w:proofErr w:type="spell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ma’suliyati</w:t>
      </w:r>
      <w:proofErr w:type="spell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.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6.1.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quyidagi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shartlarni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kelishib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oldilar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: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Tarraflar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shartlarini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oshirishda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O’zbekiston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Respublikasi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Korrupsiyaga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qarshi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kurashish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to’g’risidagi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qonun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talablariga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so’zsiz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qiladi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ularning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vakillari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xodimlari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o‘z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majburiyatlarini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jarayonida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bo'yicha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majburiyatlarni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o'z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zimmasiga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olgan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holda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doirasida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qonun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buzilishga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olib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keladigan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harakatlar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(</w:t>
      </w:r>
      <w:proofErr w:type="spellStart"/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harakatsizlik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)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yo'l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qo'ymaydilar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O‘zbekiston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Respublikasining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korrupsiyaga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qarshi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kurashish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sohasidagi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amaldagi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qonun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hujjatlari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talablari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xususiyatlari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quyidagilardan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iborat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: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-  </w:t>
      </w:r>
      <w:proofErr w:type="spellStart"/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pora</w:t>
      </w:r>
      <w:proofErr w:type="spellEnd"/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, SHUNINGDEK VOSITACHILIK QILISH.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-  </w:t>
      </w:r>
      <w:proofErr w:type="spellStart"/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tovlamachilik</w:t>
      </w:r>
      <w:proofErr w:type="spellEnd"/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YOKI BOSHQA NOQONUNIY HARAKATLAR BILAN PORA OLISHGA UNDASH. 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-  </w:t>
      </w:r>
      <w:proofErr w:type="spellStart"/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pora</w:t>
      </w:r>
      <w:proofErr w:type="spellEnd"/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olishga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bevosita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bilvosita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rozilik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Shuningdek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ularning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vakillari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xodimlari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rag'batlantirishning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qanday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shaklini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rad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etadilar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Jumladan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,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-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xodimlari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vakillaridan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pul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mablag'lari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olish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sovg'alar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berish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ularga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bepul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xizmatlar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ko'rsatish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ishlarni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bajarishni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harakat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(</w:t>
      </w:r>
      <w:proofErr w:type="spellStart"/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harakatsizlik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)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oshirgan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xodim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vakolatli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vakil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rag'batlantiradigan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foydasiga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qanday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harakatni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bajarishni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  <w:proofErr w:type="spellStart"/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Taraflarga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shartlarini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oshirishda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suniy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ravishda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ikkinchi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tarafga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noqulayliklar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tug’dirib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Korrupsiyaviy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omil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paydo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bo’lishiga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bevosita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hamda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bilvosita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sababchi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bo’lish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taqiqlanadi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 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6.2. Agar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taraflari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tomonidan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shartlariga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rioya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qilmaslik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shartlarning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buzilish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holatlari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sodir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sodir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bo'lishi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mumkin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deb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gumon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qilinganda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shuningdek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6.1-bandida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belgilangan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qoidalardan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biri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sodir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etilganda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ushbu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harakat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sodir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etilganligi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yuzasidan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ikkinchi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xabardor</w:t>
      </w:r>
      <w:proofErr w:type="spellEnd"/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majburiyatini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o’z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zimmasiga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oladi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. </w:t>
      </w:r>
      <w:proofErr w:type="spellStart"/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Shunindek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yoki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qonun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buzilishining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inkor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etilmaydigan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dalillari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mavjud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bo'lganda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,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taraflari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O‘zbekiston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Respublikasining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korrupsiyaga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qarshi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kurashish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sohasidagi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vakolatli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davlat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organlariga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murojaat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qiladilar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  <w:proofErr w:type="gramEnd"/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                                                          </w:t>
      </w:r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gram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7.Boshqa</w:t>
      </w:r>
      <w:proofErr w:type="gram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shartlar</w:t>
      </w:r>
      <w:proofErr w:type="spellEnd"/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7.1</w:t>
      </w:r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.Ushbu</w:t>
      </w:r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tomonlar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tarafidan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imzolangan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O'zbekiston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Respublikasi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Moliya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vazirligi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G'aznachiligida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ro'yxatdan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o'tgan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paytdan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boshlab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kuchga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kiradi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va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31.12.2022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yilgacha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amal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qiladi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</w:t>
      </w:r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7.2</w:t>
      </w:r>
      <w:proofErr w:type="gram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.Ushbu</w:t>
      </w:r>
      <w:proofErr w:type="gram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shartnoma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o'zbek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tilida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2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nusxada</w:t>
      </w:r>
      <w:proofErr w:type="spellEnd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i w:val="0"/>
          <w:sz w:val="20"/>
          <w:szCs w:val="20"/>
          <w:lang w:val="en-US"/>
        </w:rPr>
        <w:t>tuzilgan</w:t>
      </w:r>
      <w:proofErr w:type="spellEnd"/>
    </w:p>
    <w:p w:rsidR="00BC192A" w:rsidRPr="00BC192A" w:rsidRDefault="00BC192A" w:rsidP="00BC192A">
      <w:pPr>
        <w:pStyle w:val="a3"/>
        <w:jc w:val="both"/>
        <w:rPr>
          <w:rStyle w:val="a5"/>
          <w:rFonts w:ascii="Times New Roman" w:hAnsi="Times New Roman"/>
          <w:i w:val="0"/>
          <w:sz w:val="20"/>
          <w:szCs w:val="20"/>
          <w:lang w:val="en-US"/>
        </w:rPr>
      </w:pPr>
    </w:p>
    <w:p w:rsidR="00BC192A" w:rsidRPr="00BC192A" w:rsidRDefault="00BC192A" w:rsidP="00BC192A">
      <w:pPr>
        <w:pStyle w:val="a3"/>
        <w:jc w:val="both"/>
        <w:rPr>
          <w:rFonts w:ascii="Times New Roman" w:hAnsi="Times New Roman"/>
          <w:b/>
          <w:iCs/>
          <w:color w:val="404040"/>
          <w:sz w:val="20"/>
          <w:szCs w:val="20"/>
          <w:lang w:val="en-US"/>
        </w:rPr>
      </w:pPr>
      <w:r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                                       </w:t>
      </w:r>
      <w:proofErr w:type="gram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8.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Tomonlarning</w:t>
      </w:r>
      <w:proofErr w:type="spell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yuridik</w:t>
      </w:r>
      <w:proofErr w:type="spell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manzillari</w:t>
      </w:r>
      <w:proofErr w:type="spell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va</w:t>
      </w:r>
      <w:proofErr w:type="spell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bank</w:t>
      </w:r>
      <w:proofErr w:type="gram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</w:t>
      </w:r>
      <w:proofErr w:type="spellStart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rekvizitlari</w:t>
      </w:r>
      <w:proofErr w:type="spellEnd"/>
      <w:r w:rsidRPr="00BC192A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.</w:t>
      </w:r>
    </w:p>
    <w:p w:rsidR="0011347F" w:rsidRPr="0086267D" w:rsidRDefault="0011347F" w:rsidP="008A2735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</w:p>
    <w:p w:rsidR="008A2735" w:rsidRPr="008A2735" w:rsidRDefault="008A2735" w:rsidP="008A2735">
      <w:pPr>
        <w:pStyle w:val="a3"/>
        <w:jc w:val="both"/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</w:pPr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"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Sotuvchi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"                                                                                                                                 "</w:t>
      </w:r>
      <w:proofErr w:type="spellStart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Xaridor</w:t>
      </w:r>
      <w:proofErr w:type="spellEnd"/>
      <w:r w:rsidRPr="008A2735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"</w:t>
      </w:r>
    </w:p>
    <w:p w:rsidR="008A2735" w:rsidRPr="008A2735" w:rsidRDefault="008A2735" w:rsidP="008A2735">
      <w:pPr>
        <w:pStyle w:val="a3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8A2735">
        <w:rPr>
          <w:rFonts w:ascii="Times New Roman" w:hAnsi="Times New Roman"/>
          <w:b/>
          <w:sz w:val="20"/>
          <w:szCs w:val="20"/>
          <w:lang w:val="en-US"/>
        </w:rPr>
        <w:t>DX  «</w:t>
      </w:r>
      <w:proofErr w:type="gramEnd"/>
      <w:r w:rsidRPr="008A2735">
        <w:rPr>
          <w:rFonts w:ascii="Times New Roman" w:hAnsi="Times New Roman"/>
          <w:b/>
          <w:sz w:val="20"/>
          <w:szCs w:val="20"/>
          <w:lang w:val="en-US"/>
        </w:rPr>
        <w:t>FARXODSUT»</w:t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proofErr w:type="spellStart"/>
      <w:r w:rsidR="008B61DF">
        <w:rPr>
          <w:rFonts w:ascii="Times New Roman" w:hAnsi="Times New Roman"/>
          <w:sz w:val="20"/>
          <w:szCs w:val="20"/>
          <w:lang w:val="en-US"/>
        </w:rPr>
        <w:t>Yuqori</w:t>
      </w:r>
      <w:proofErr w:type="spellEnd"/>
      <w:r w:rsidR="008B61DF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="008B61DF">
        <w:rPr>
          <w:rFonts w:ascii="Times New Roman" w:hAnsi="Times New Roman"/>
          <w:sz w:val="20"/>
          <w:szCs w:val="20"/>
          <w:lang w:val="en-US"/>
        </w:rPr>
        <w:t>Chirchiq</w:t>
      </w:r>
      <w:proofErr w:type="spellEnd"/>
      <w:r w:rsidR="008B61DF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="008B61DF">
        <w:rPr>
          <w:rFonts w:ascii="Times New Roman" w:hAnsi="Times New Roman"/>
          <w:sz w:val="20"/>
          <w:szCs w:val="20"/>
          <w:lang w:val="en-US"/>
        </w:rPr>
        <w:t>tumani</w:t>
      </w:r>
      <w:proofErr w:type="spellEnd"/>
      <w:r w:rsidR="008B61DF">
        <w:rPr>
          <w:rFonts w:ascii="Times New Roman" w:hAnsi="Times New Roman"/>
          <w:sz w:val="20"/>
          <w:szCs w:val="20"/>
          <w:lang w:val="en-US"/>
        </w:rPr>
        <w:t xml:space="preserve">  MTB</w:t>
      </w:r>
    </w:p>
    <w:p w:rsidR="008A2735" w:rsidRPr="008A2735" w:rsidRDefault="008A2735" w:rsidP="008A2735">
      <w:pPr>
        <w:pStyle w:val="a3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8A2735">
        <w:rPr>
          <w:rFonts w:ascii="Times New Roman" w:hAnsi="Times New Roman"/>
          <w:sz w:val="20"/>
          <w:szCs w:val="20"/>
        </w:rPr>
        <w:t>Т</w:t>
      </w:r>
      <w:proofErr w:type="spellStart"/>
      <w:proofErr w:type="gramEnd"/>
      <w:r w:rsidRPr="008A2735">
        <w:rPr>
          <w:rFonts w:ascii="Times New Roman" w:hAnsi="Times New Roman"/>
          <w:sz w:val="20"/>
          <w:szCs w:val="20"/>
          <w:lang w:val="en-US"/>
        </w:rPr>
        <w:t>oshkent</w:t>
      </w:r>
      <w:proofErr w:type="spellEnd"/>
      <w:r w:rsidRPr="008A2735">
        <w:rPr>
          <w:rFonts w:ascii="Times New Roman" w:hAnsi="Times New Roman"/>
          <w:sz w:val="20"/>
          <w:szCs w:val="20"/>
          <w:lang w:val="en-US"/>
        </w:rPr>
        <w:t xml:space="preserve"> vil. </w:t>
      </w:r>
      <w:proofErr w:type="spellStart"/>
      <w:r w:rsidRPr="008A2735">
        <w:rPr>
          <w:rFonts w:ascii="Times New Roman" w:hAnsi="Times New Roman"/>
          <w:sz w:val="20"/>
          <w:szCs w:val="20"/>
          <w:lang w:val="en-US"/>
        </w:rPr>
        <w:t>YuqoriChirchiqtumani</w:t>
      </w:r>
      <w:proofErr w:type="spellEnd"/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="0044338C">
        <w:rPr>
          <w:rFonts w:ascii="Times New Roman" w:hAnsi="Times New Roman"/>
          <w:sz w:val="20"/>
          <w:szCs w:val="20"/>
          <w:lang w:val="en-US"/>
        </w:rPr>
        <w:t xml:space="preserve">                           </w:t>
      </w:r>
      <w:proofErr w:type="spellStart"/>
      <w:proofErr w:type="gramStart"/>
      <w:r w:rsidR="008B61DF">
        <w:rPr>
          <w:rFonts w:ascii="Times New Roman" w:hAnsi="Times New Roman"/>
          <w:sz w:val="20"/>
          <w:szCs w:val="20"/>
          <w:lang w:val="en-US"/>
        </w:rPr>
        <w:t>Yuqori</w:t>
      </w:r>
      <w:proofErr w:type="spellEnd"/>
      <w:r w:rsidR="008B61DF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="008B61DF">
        <w:rPr>
          <w:rFonts w:ascii="Times New Roman" w:hAnsi="Times New Roman"/>
          <w:sz w:val="20"/>
          <w:szCs w:val="20"/>
          <w:lang w:val="en-US"/>
        </w:rPr>
        <w:t>Chirchiq</w:t>
      </w:r>
      <w:proofErr w:type="spellEnd"/>
      <w:proofErr w:type="gramEnd"/>
      <w:r w:rsidR="008B61DF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="008B61DF">
        <w:rPr>
          <w:rFonts w:ascii="Times New Roman" w:hAnsi="Times New Roman"/>
          <w:sz w:val="20"/>
          <w:szCs w:val="20"/>
          <w:lang w:val="en-US"/>
        </w:rPr>
        <w:t>tuman</w:t>
      </w:r>
      <w:proofErr w:type="spellEnd"/>
      <w:r w:rsidR="008B61DF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="008B61DF">
        <w:rPr>
          <w:rFonts w:ascii="Times New Roman" w:hAnsi="Times New Roman"/>
          <w:sz w:val="20"/>
          <w:szCs w:val="20"/>
          <w:lang w:val="en-US"/>
        </w:rPr>
        <w:t>Ma`rifat</w:t>
      </w:r>
      <w:proofErr w:type="spellEnd"/>
      <w:r w:rsidR="008B61DF">
        <w:rPr>
          <w:rFonts w:ascii="Times New Roman" w:hAnsi="Times New Roman"/>
          <w:sz w:val="20"/>
          <w:szCs w:val="20"/>
          <w:lang w:val="en-US"/>
        </w:rPr>
        <w:t xml:space="preserve"> MFY</w:t>
      </w:r>
    </w:p>
    <w:p w:rsidR="008A2735" w:rsidRPr="008A2735" w:rsidRDefault="008A2735" w:rsidP="008A2735">
      <w:pPr>
        <w:pStyle w:val="a3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8A2735">
        <w:rPr>
          <w:rFonts w:ascii="Times New Roman" w:hAnsi="Times New Roman"/>
          <w:sz w:val="20"/>
          <w:szCs w:val="20"/>
          <w:lang w:val="en-US"/>
        </w:rPr>
        <w:t>Saksonota</w:t>
      </w:r>
      <w:proofErr w:type="spellEnd"/>
      <w:r w:rsidRPr="008A2735">
        <w:rPr>
          <w:rFonts w:ascii="Times New Roman" w:hAnsi="Times New Roman"/>
          <w:sz w:val="20"/>
          <w:szCs w:val="20"/>
          <w:lang w:val="en-US"/>
        </w:rPr>
        <w:t xml:space="preserve"> MFY, </w:t>
      </w:r>
      <w:proofErr w:type="spellStart"/>
      <w:r w:rsidRPr="008A2735">
        <w:rPr>
          <w:rFonts w:ascii="Times New Roman" w:hAnsi="Times New Roman"/>
          <w:sz w:val="20"/>
          <w:szCs w:val="20"/>
          <w:lang w:val="en-US"/>
        </w:rPr>
        <w:t>Toshtog'izoq</w:t>
      </w:r>
      <w:proofErr w:type="spellEnd"/>
      <w:r w:rsidRPr="008A2735">
        <w:rPr>
          <w:rFonts w:ascii="Times New Roman" w:hAnsi="Times New Roman"/>
          <w:sz w:val="20"/>
          <w:szCs w:val="20"/>
          <w:lang w:val="en-US"/>
        </w:rPr>
        <w:t xml:space="preserve"> Max</w:t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  <w:t xml:space="preserve">                           </w:t>
      </w:r>
      <w:r w:rsidR="008B61DF">
        <w:rPr>
          <w:rFonts w:ascii="Times New Roman" w:hAnsi="Times New Roman"/>
          <w:sz w:val="20"/>
          <w:szCs w:val="20"/>
          <w:lang w:val="en-US"/>
        </w:rPr>
        <w:t xml:space="preserve">X/R </w:t>
      </w:r>
      <w:r w:rsidR="004866A5" w:rsidRPr="00655315">
        <w:rPr>
          <w:rFonts w:ascii="Times New Roman" w:hAnsi="Times New Roman"/>
          <w:sz w:val="20"/>
          <w:szCs w:val="20"/>
          <w:lang w:val="en-US"/>
        </w:rPr>
        <w:t>4005</w:t>
      </w:r>
      <w:r w:rsidR="008B61DF">
        <w:rPr>
          <w:rFonts w:ascii="Times New Roman" w:hAnsi="Times New Roman"/>
          <w:sz w:val="20"/>
          <w:szCs w:val="20"/>
          <w:lang w:val="en-US"/>
        </w:rPr>
        <w:t>228602723</w:t>
      </w:r>
      <w:r w:rsidR="00C87B36">
        <w:rPr>
          <w:rFonts w:ascii="Times New Roman" w:hAnsi="Times New Roman"/>
          <w:sz w:val="20"/>
          <w:szCs w:val="20"/>
          <w:lang w:val="en-US"/>
        </w:rPr>
        <w:t>97091100251012</w:t>
      </w:r>
    </w:p>
    <w:p w:rsidR="008A2735" w:rsidRPr="008A2735" w:rsidRDefault="008A2735" w:rsidP="008A2735">
      <w:pPr>
        <w:pStyle w:val="a3"/>
        <w:rPr>
          <w:rFonts w:ascii="Times New Roman" w:hAnsi="Times New Roman"/>
          <w:sz w:val="20"/>
          <w:szCs w:val="20"/>
          <w:lang w:val="en-US"/>
        </w:rPr>
      </w:pPr>
      <w:r w:rsidRPr="008A2735">
        <w:rPr>
          <w:rFonts w:ascii="Times New Roman" w:hAnsi="Times New Roman"/>
          <w:sz w:val="20"/>
          <w:szCs w:val="20"/>
          <w:lang w:val="en-US"/>
        </w:rPr>
        <w:t>H/r:  20208000900438542001</w:t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  <w:t xml:space="preserve">              </w:t>
      </w:r>
      <w:r w:rsidR="00C87B36">
        <w:rPr>
          <w:rFonts w:ascii="Times New Roman" w:hAnsi="Times New Roman"/>
          <w:sz w:val="20"/>
          <w:szCs w:val="20"/>
          <w:lang w:val="en-US"/>
        </w:rPr>
        <w:t xml:space="preserve">INN   207267298   </w:t>
      </w:r>
      <w:proofErr w:type="gramStart"/>
      <w:r w:rsidR="00C87B36">
        <w:rPr>
          <w:rFonts w:ascii="Times New Roman" w:hAnsi="Times New Roman"/>
          <w:sz w:val="20"/>
          <w:szCs w:val="20"/>
          <w:lang w:val="en-US"/>
        </w:rPr>
        <w:t>OKONX  92400</w:t>
      </w:r>
      <w:proofErr w:type="gramEnd"/>
    </w:p>
    <w:p w:rsidR="008A2735" w:rsidRPr="008A2735" w:rsidRDefault="008A2735" w:rsidP="008A2735">
      <w:pPr>
        <w:pStyle w:val="a3"/>
        <w:rPr>
          <w:rFonts w:ascii="Times New Roman" w:hAnsi="Times New Roman"/>
          <w:sz w:val="20"/>
          <w:szCs w:val="20"/>
          <w:lang w:val="en-US"/>
        </w:rPr>
      </w:pPr>
      <w:r w:rsidRPr="008A2735">
        <w:rPr>
          <w:rFonts w:ascii="Times New Roman" w:hAnsi="Times New Roman"/>
          <w:sz w:val="20"/>
          <w:szCs w:val="20"/>
          <w:lang w:val="en-US"/>
        </w:rPr>
        <w:t xml:space="preserve">ATB Agro </w:t>
      </w:r>
      <w:proofErr w:type="gramStart"/>
      <w:r w:rsidRPr="008A2735">
        <w:rPr>
          <w:rFonts w:ascii="Times New Roman" w:hAnsi="Times New Roman"/>
          <w:sz w:val="20"/>
          <w:szCs w:val="20"/>
          <w:lang w:val="en-US"/>
        </w:rPr>
        <w:t xml:space="preserve">Bank  </w:t>
      </w:r>
      <w:proofErr w:type="spellStart"/>
      <w:r w:rsidRPr="008A2735">
        <w:rPr>
          <w:rFonts w:ascii="Times New Roman" w:hAnsi="Times New Roman"/>
          <w:sz w:val="20"/>
          <w:szCs w:val="20"/>
          <w:lang w:val="en-US"/>
        </w:rPr>
        <w:t>YuqoriChirchiq</w:t>
      </w:r>
      <w:proofErr w:type="spellEnd"/>
      <w:proofErr w:type="gramEnd"/>
      <w:r w:rsidRPr="008A2735">
        <w:rPr>
          <w:rFonts w:ascii="Times New Roman" w:hAnsi="Times New Roman"/>
          <w:sz w:val="20"/>
          <w:szCs w:val="20"/>
          <w:lang w:val="en-US"/>
        </w:rPr>
        <w:t xml:space="preserve"> filial.</w:t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  <w:t xml:space="preserve">              </w:t>
      </w:r>
      <w:proofErr w:type="spellStart"/>
      <w:proofErr w:type="gramStart"/>
      <w:r w:rsidR="00C87B36">
        <w:rPr>
          <w:rFonts w:ascii="Times New Roman" w:hAnsi="Times New Roman"/>
          <w:sz w:val="20"/>
          <w:szCs w:val="20"/>
          <w:lang w:val="en-US"/>
        </w:rPr>
        <w:t>Yuqori</w:t>
      </w:r>
      <w:proofErr w:type="spellEnd"/>
      <w:r w:rsidR="00C87B3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="00C87B36">
        <w:rPr>
          <w:rFonts w:ascii="Times New Roman" w:hAnsi="Times New Roman"/>
          <w:sz w:val="20"/>
          <w:szCs w:val="20"/>
          <w:lang w:val="en-US"/>
        </w:rPr>
        <w:t>Chirchiq</w:t>
      </w:r>
      <w:proofErr w:type="spellEnd"/>
      <w:proofErr w:type="gramEnd"/>
      <w:r w:rsidR="00C87B3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87B36">
        <w:rPr>
          <w:rFonts w:ascii="Times New Roman" w:hAnsi="Times New Roman"/>
          <w:sz w:val="20"/>
          <w:szCs w:val="20"/>
          <w:lang w:val="en-US"/>
        </w:rPr>
        <w:t>tuman</w:t>
      </w:r>
      <w:proofErr w:type="spellEnd"/>
      <w:r w:rsidR="00C87B36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="00C87B36">
        <w:rPr>
          <w:rFonts w:ascii="Times New Roman" w:hAnsi="Times New Roman"/>
          <w:sz w:val="20"/>
          <w:szCs w:val="20"/>
          <w:lang w:val="en-US"/>
        </w:rPr>
        <w:t>Gaznachilik</w:t>
      </w:r>
      <w:proofErr w:type="spellEnd"/>
      <w:r w:rsidR="00C87B36">
        <w:rPr>
          <w:rFonts w:ascii="Times New Roman" w:hAnsi="Times New Roman"/>
          <w:sz w:val="20"/>
          <w:szCs w:val="20"/>
          <w:lang w:val="en-US"/>
        </w:rPr>
        <w:t xml:space="preserve">  </w:t>
      </w:r>
      <w:proofErr w:type="spellStart"/>
      <w:r w:rsidR="00C87B36">
        <w:rPr>
          <w:rFonts w:ascii="Times New Roman" w:hAnsi="Times New Roman"/>
          <w:sz w:val="20"/>
          <w:szCs w:val="20"/>
          <w:lang w:val="en-US"/>
        </w:rPr>
        <w:t>bo`l</w:t>
      </w:r>
      <w:proofErr w:type="spellEnd"/>
    </w:p>
    <w:p w:rsidR="008A2735" w:rsidRPr="008A2735" w:rsidRDefault="008A2735" w:rsidP="008A2735">
      <w:pPr>
        <w:pStyle w:val="a3"/>
        <w:rPr>
          <w:rFonts w:ascii="Times New Roman" w:hAnsi="Times New Roman"/>
          <w:sz w:val="20"/>
          <w:szCs w:val="20"/>
          <w:lang w:val="en-US"/>
        </w:rPr>
      </w:pPr>
      <w:r w:rsidRPr="008A2735">
        <w:rPr>
          <w:rFonts w:ascii="Times New Roman" w:hAnsi="Times New Roman"/>
          <w:sz w:val="20"/>
          <w:szCs w:val="20"/>
          <w:lang w:val="en-US"/>
        </w:rPr>
        <w:t xml:space="preserve">MFO: 00480, INN: 302315831   </w:t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  <w:t xml:space="preserve">              </w:t>
      </w:r>
      <w:r w:rsidR="00C87B36">
        <w:rPr>
          <w:rFonts w:ascii="Times New Roman" w:hAnsi="Times New Roman"/>
          <w:sz w:val="20"/>
          <w:szCs w:val="20"/>
          <w:lang w:val="en-US"/>
        </w:rPr>
        <w:t xml:space="preserve">X/R </w:t>
      </w:r>
      <w:proofErr w:type="gramStart"/>
      <w:r w:rsidR="00C87B36">
        <w:rPr>
          <w:rFonts w:ascii="Times New Roman" w:hAnsi="Times New Roman"/>
          <w:sz w:val="20"/>
          <w:szCs w:val="20"/>
          <w:lang w:val="en-US"/>
        </w:rPr>
        <w:t>23402000300100001010  MFO</w:t>
      </w:r>
      <w:proofErr w:type="gramEnd"/>
      <w:r w:rsidR="00C87B36">
        <w:rPr>
          <w:rFonts w:ascii="Times New Roman" w:hAnsi="Times New Roman"/>
          <w:sz w:val="20"/>
          <w:szCs w:val="20"/>
          <w:lang w:val="en-US"/>
        </w:rPr>
        <w:t xml:space="preserve"> 00014</w:t>
      </w:r>
    </w:p>
    <w:p w:rsidR="008A2735" w:rsidRPr="008A2735" w:rsidRDefault="008A2735" w:rsidP="008A2735">
      <w:pPr>
        <w:pStyle w:val="a3"/>
        <w:rPr>
          <w:rFonts w:ascii="Times New Roman" w:hAnsi="Times New Roman"/>
          <w:sz w:val="20"/>
          <w:szCs w:val="20"/>
          <w:lang w:val="en-US"/>
        </w:rPr>
      </w:pPr>
      <w:r w:rsidRPr="008A2735">
        <w:rPr>
          <w:rFonts w:ascii="Times New Roman" w:hAnsi="Times New Roman"/>
          <w:sz w:val="20"/>
          <w:szCs w:val="20"/>
        </w:rPr>
        <w:t>Те</w:t>
      </w:r>
      <w:proofErr w:type="gramStart"/>
      <w:r w:rsidRPr="008A2735">
        <w:rPr>
          <w:rFonts w:ascii="Times New Roman" w:hAnsi="Times New Roman"/>
          <w:sz w:val="20"/>
          <w:szCs w:val="20"/>
          <w:lang w:val="en-US"/>
        </w:rPr>
        <w:t>l</w:t>
      </w:r>
      <w:proofErr w:type="gramEnd"/>
      <w:r w:rsidRPr="008A2735">
        <w:rPr>
          <w:rFonts w:ascii="Times New Roman" w:hAnsi="Times New Roman"/>
          <w:sz w:val="20"/>
          <w:szCs w:val="20"/>
          <w:lang w:val="en-US"/>
        </w:rPr>
        <w:t>:</w:t>
      </w:r>
      <w:proofErr w:type="gramStart"/>
      <w:r w:rsidRPr="008A2735">
        <w:rPr>
          <w:rFonts w:ascii="Times New Roman" w:hAnsi="Times New Roman"/>
          <w:sz w:val="20"/>
          <w:szCs w:val="20"/>
          <w:lang w:val="en-US"/>
        </w:rPr>
        <w:t>Raxbar  (</w:t>
      </w:r>
      <w:proofErr w:type="gramEnd"/>
      <w:r w:rsidRPr="008A2735">
        <w:rPr>
          <w:rFonts w:ascii="Times New Roman" w:hAnsi="Times New Roman"/>
          <w:sz w:val="20"/>
          <w:szCs w:val="20"/>
          <w:lang w:val="en-US"/>
        </w:rPr>
        <w:t>97 7770815 )</w:t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sz w:val="20"/>
          <w:szCs w:val="20"/>
          <w:lang w:val="en-US"/>
        </w:rPr>
        <w:tab/>
        <w:t xml:space="preserve">                           </w:t>
      </w:r>
      <w:r w:rsidR="00C87B36">
        <w:rPr>
          <w:rFonts w:ascii="Times New Roman" w:hAnsi="Times New Roman"/>
          <w:sz w:val="20"/>
          <w:szCs w:val="20"/>
          <w:lang w:val="en-US"/>
        </w:rPr>
        <w:t xml:space="preserve"> INN 201122919  OKED  85100</w:t>
      </w:r>
    </w:p>
    <w:p w:rsidR="008A2735" w:rsidRPr="008A2735" w:rsidRDefault="008A2735" w:rsidP="008A2735">
      <w:pPr>
        <w:pStyle w:val="a3"/>
        <w:rPr>
          <w:rFonts w:ascii="Times New Roman" w:hAnsi="Times New Roman"/>
          <w:b/>
          <w:sz w:val="20"/>
          <w:szCs w:val="20"/>
          <w:lang w:val="en-US"/>
        </w:rPr>
      </w:pPr>
      <w:proofErr w:type="gramStart"/>
      <w:r w:rsidRPr="008A2735">
        <w:rPr>
          <w:rFonts w:ascii="Times New Roman" w:hAnsi="Times New Roman"/>
          <w:b/>
          <w:sz w:val="20"/>
          <w:szCs w:val="20"/>
          <w:lang w:val="en-US"/>
        </w:rPr>
        <w:t xml:space="preserve">___________ </w:t>
      </w:r>
      <w:proofErr w:type="spellStart"/>
      <w:r w:rsidR="00714C34" w:rsidRPr="00714C34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>Risqiboyev</w:t>
      </w:r>
      <w:proofErr w:type="spellEnd"/>
      <w:r w:rsidR="00714C34" w:rsidRPr="00714C34">
        <w:rPr>
          <w:rStyle w:val="a5"/>
          <w:rFonts w:ascii="Times New Roman" w:hAnsi="Times New Roman"/>
          <w:b/>
          <w:i w:val="0"/>
          <w:sz w:val="20"/>
          <w:szCs w:val="20"/>
          <w:lang w:val="en-US"/>
        </w:rPr>
        <w:t xml:space="preserve"> F. G’</w:t>
      </w:r>
      <w:r w:rsidRPr="008A2735">
        <w:rPr>
          <w:rFonts w:ascii="Times New Roman" w:hAnsi="Times New Roman"/>
          <w:b/>
          <w:sz w:val="20"/>
          <w:szCs w:val="20"/>
          <w:lang w:val="en-US"/>
        </w:rPr>
        <w:t>.</w:t>
      </w:r>
      <w:proofErr w:type="gramEnd"/>
      <w:r w:rsidRPr="008A2735">
        <w:rPr>
          <w:rFonts w:ascii="Times New Roman" w:hAnsi="Times New Roman"/>
          <w:b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b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b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b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b/>
          <w:sz w:val="20"/>
          <w:szCs w:val="20"/>
          <w:lang w:val="en-US"/>
        </w:rPr>
        <w:tab/>
        <w:t>_____________________</w:t>
      </w:r>
      <w:proofErr w:type="spellStart"/>
      <w:r w:rsidR="007E4531">
        <w:rPr>
          <w:rFonts w:ascii="Times New Roman" w:hAnsi="Times New Roman"/>
          <w:b/>
          <w:sz w:val="20"/>
          <w:szCs w:val="20"/>
          <w:lang w:val="en-US"/>
        </w:rPr>
        <w:t>D.Artik</w:t>
      </w:r>
      <w:r w:rsidR="00C87B36">
        <w:rPr>
          <w:rFonts w:ascii="Times New Roman" w:hAnsi="Times New Roman"/>
          <w:b/>
          <w:sz w:val="20"/>
          <w:szCs w:val="20"/>
          <w:lang w:val="en-US"/>
        </w:rPr>
        <w:t>ova</w:t>
      </w:r>
      <w:proofErr w:type="spellEnd"/>
      <w:r w:rsidR="00C87B36">
        <w:rPr>
          <w:rFonts w:ascii="Times New Roman" w:hAnsi="Times New Roman"/>
          <w:b/>
          <w:sz w:val="20"/>
          <w:szCs w:val="20"/>
          <w:lang w:val="en-US"/>
        </w:rPr>
        <w:t xml:space="preserve">              </w:t>
      </w:r>
      <w:r w:rsidRPr="008A2735">
        <w:rPr>
          <w:rFonts w:ascii="Times New Roman" w:hAnsi="Times New Roman"/>
          <w:b/>
          <w:sz w:val="20"/>
          <w:szCs w:val="20"/>
          <w:lang w:val="en-US"/>
        </w:rPr>
        <w:t xml:space="preserve">              </w:t>
      </w:r>
      <w:r w:rsidRPr="008A2735">
        <w:rPr>
          <w:rFonts w:ascii="Times New Roman" w:hAnsi="Times New Roman"/>
          <w:b/>
          <w:sz w:val="20"/>
          <w:szCs w:val="20"/>
        </w:rPr>
        <w:t>М</w:t>
      </w:r>
      <w:proofErr w:type="spellStart"/>
      <w:r w:rsidRPr="008A2735">
        <w:rPr>
          <w:rFonts w:ascii="Times New Roman" w:hAnsi="Times New Roman"/>
          <w:b/>
          <w:sz w:val="20"/>
          <w:szCs w:val="20"/>
          <w:lang w:val="en-US"/>
        </w:rPr>
        <w:t>uxr</w:t>
      </w:r>
      <w:proofErr w:type="spellEnd"/>
      <w:r w:rsidRPr="008A2735">
        <w:rPr>
          <w:rFonts w:ascii="Times New Roman" w:hAnsi="Times New Roman"/>
          <w:b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b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b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b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b/>
          <w:sz w:val="20"/>
          <w:szCs w:val="20"/>
          <w:lang w:val="en-US"/>
        </w:rPr>
        <w:tab/>
      </w:r>
      <w:r w:rsidRPr="008A2735">
        <w:rPr>
          <w:rFonts w:ascii="Times New Roman" w:hAnsi="Times New Roman"/>
          <w:b/>
          <w:sz w:val="20"/>
          <w:szCs w:val="20"/>
          <w:lang w:val="en-US"/>
        </w:rPr>
        <w:tab/>
      </w:r>
      <w:r w:rsidR="00C87B36">
        <w:rPr>
          <w:rFonts w:ascii="Times New Roman" w:hAnsi="Times New Roman"/>
          <w:b/>
          <w:sz w:val="20"/>
          <w:szCs w:val="20"/>
          <w:lang w:val="en-US"/>
        </w:rPr>
        <w:t xml:space="preserve">                                    </w:t>
      </w:r>
      <w:proofErr w:type="spellStart"/>
      <w:r w:rsidRPr="008A2735">
        <w:rPr>
          <w:rFonts w:ascii="Times New Roman" w:hAnsi="Times New Roman"/>
          <w:b/>
          <w:sz w:val="20"/>
          <w:szCs w:val="20"/>
          <w:lang w:val="en-US"/>
        </w:rPr>
        <w:t>Muxr</w:t>
      </w:r>
      <w:proofErr w:type="spellEnd"/>
    </w:p>
    <w:p w:rsidR="008A2735" w:rsidRPr="00714C34" w:rsidRDefault="008A2735" w:rsidP="008A2735">
      <w:pPr>
        <w:pStyle w:val="a3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p w:rsidR="008A2735" w:rsidRPr="00714C34" w:rsidRDefault="008A2735" w:rsidP="008A2735">
      <w:pPr>
        <w:pStyle w:val="a3"/>
        <w:jc w:val="both"/>
        <w:rPr>
          <w:rFonts w:ascii="Times New Roman" w:hAnsi="Times New Roman"/>
          <w:b/>
          <w:sz w:val="20"/>
          <w:szCs w:val="20"/>
          <w:lang w:val="en-US"/>
        </w:rPr>
      </w:pPr>
    </w:p>
    <w:sectPr w:rsidR="008A2735" w:rsidRPr="00714C34" w:rsidSect="00EA6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77E" w:rsidRDefault="000B577E" w:rsidP="0011347F">
      <w:r>
        <w:separator/>
      </w:r>
    </w:p>
  </w:endnote>
  <w:endnote w:type="continuationSeparator" w:id="0">
    <w:p w:rsidR="000B577E" w:rsidRDefault="000B577E" w:rsidP="00113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77E" w:rsidRDefault="000B577E" w:rsidP="0011347F">
      <w:r>
        <w:separator/>
      </w:r>
    </w:p>
  </w:footnote>
  <w:footnote w:type="continuationSeparator" w:id="0">
    <w:p w:rsidR="000B577E" w:rsidRDefault="000B577E" w:rsidP="001134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2A6"/>
    <w:rsid w:val="00062C56"/>
    <w:rsid w:val="000B577E"/>
    <w:rsid w:val="000C482A"/>
    <w:rsid w:val="000F1183"/>
    <w:rsid w:val="0011347F"/>
    <w:rsid w:val="00131F40"/>
    <w:rsid w:val="001A7803"/>
    <w:rsid w:val="001F2B6D"/>
    <w:rsid w:val="00204E4E"/>
    <w:rsid w:val="00260FAD"/>
    <w:rsid w:val="00304A25"/>
    <w:rsid w:val="0033652D"/>
    <w:rsid w:val="003D5F81"/>
    <w:rsid w:val="0044338C"/>
    <w:rsid w:val="0045699E"/>
    <w:rsid w:val="004866A5"/>
    <w:rsid w:val="004B7787"/>
    <w:rsid w:val="00521D88"/>
    <w:rsid w:val="00574289"/>
    <w:rsid w:val="005A5C65"/>
    <w:rsid w:val="006136CE"/>
    <w:rsid w:val="00655315"/>
    <w:rsid w:val="00714C34"/>
    <w:rsid w:val="007E4531"/>
    <w:rsid w:val="007E5410"/>
    <w:rsid w:val="008110AB"/>
    <w:rsid w:val="00845DF7"/>
    <w:rsid w:val="0086267D"/>
    <w:rsid w:val="008A2735"/>
    <w:rsid w:val="008B61DF"/>
    <w:rsid w:val="00922569"/>
    <w:rsid w:val="0094568F"/>
    <w:rsid w:val="00974EF4"/>
    <w:rsid w:val="00991EF2"/>
    <w:rsid w:val="009D52A6"/>
    <w:rsid w:val="009E3C04"/>
    <w:rsid w:val="00A1396B"/>
    <w:rsid w:val="00A34A45"/>
    <w:rsid w:val="00A6451A"/>
    <w:rsid w:val="00AD10C9"/>
    <w:rsid w:val="00B0605A"/>
    <w:rsid w:val="00B4736A"/>
    <w:rsid w:val="00BB1276"/>
    <w:rsid w:val="00BC192A"/>
    <w:rsid w:val="00C152FE"/>
    <w:rsid w:val="00C87B36"/>
    <w:rsid w:val="00CD7142"/>
    <w:rsid w:val="00D3234F"/>
    <w:rsid w:val="00EA6082"/>
    <w:rsid w:val="00EC0F8A"/>
    <w:rsid w:val="00F0795E"/>
    <w:rsid w:val="00F357CF"/>
    <w:rsid w:val="00F70DC7"/>
    <w:rsid w:val="00F7293E"/>
    <w:rsid w:val="00F9730E"/>
    <w:rsid w:val="00FE1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273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8A2735"/>
    <w:rPr>
      <w:rFonts w:ascii="Dotum" w:eastAsia="Dotum" w:hAnsi="Dotum" w:cs="Dotum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2735"/>
    <w:pPr>
      <w:shd w:val="clear" w:color="auto" w:fill="FFFFFF"/>
      <w:spacing w:line="0" w:lineRule="atLeast"/>
    </w:pPr>
    <w:rPr>
      <w:rFonts w:ascii="Dotum" w:eastAsia="Dotum" w:hAnsi="Dotum" w:cs="Dotum"/>
      <w:color w:val="auto"/>
      <w:sz w:val="18"/>
      <w:szCs w:val="18"/>
      <w:lang w:val="ru-RU" w:eastAsia="en-US"/>
    </w:rPr>
  </w:style>
  <w:style w:type="paragraph" w:styleId="a3">
    <w:name w:val="No Spacing"/>
    <w:uiPriority w:val="1"/>
    <w:qFormat/>
    <w:rsid w:val="008A273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Book Title"/>
    <w:uiPriority w:val="33"/>
    <w:qFormat/>
    <w:rsid w:val="008A2735"/>
    <w:rPr>
      <w:b/>
      <w:bCs/>
      <w:i/>
      <w:iCs/>
      <w:spacing w:val="5"/>
    </w:rPr>
  </w:style>
  <w:style w:type="character" w:styleId="a5">
    <w:name w:val="Subtle Emphasis"/>
    <w:uiPriority w:val="19"/>
    <w:qFormat/>
    <w:rsid w:val="008A2735"/>
    <w:rPr>
      <w:i/>
      <w:iCs/>
      <w:color w:val="404040"/>
    </w:rPr>
  </w:style>
  <w:style w:type="paragraph" w:styleId="a6">
    <w:name w:val="header"/>
    <w:basedOn w:val="a"/>
    <w:link w:val="a7"/>
    <w:uiPriority w:val="99"/>
    <w:unhideWhenUsed/>
    <w:rsid w:val="001134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347F"/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1134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347F"/>
    <w:rPr>
      <w:rFonts w:ascii="Courier New" w:eastAsia="Courier New" w:hAnsi="Courier New" w:cs="Courier New"/>
      <w:color w:val="000000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Рахманбердиева</cp:lastModifiedBy>
  <cp:revision>17</cp:revision>
  <dcterms:created xsi:type="dcterms:W3CDTF">2022-03-09T12:25:00Z</dcterms:created>
  <dcterms:modified xsi:type="dcterms:W3CDTF">2022-10-26T11:20:00Z</dcterms:modified>
</cp:coreProperties>
</file>