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0" w:rsidRP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Бизларким қуйида имзо чекиб ўзаро шартнома тузувчилар бир томондан 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</w:t>
      </w:r>
      <w:r w:rsidR="00251FED" w:rsidRP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INTENSIV MAX PRO</w:t>
      </w:r>
      <w:r w:rsidR="00251FED" w:rsidRP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» мчж</w:t>
      </w:r>
      <w:r w:rsidR="00311B90" w:rsidRPr="00377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номидан низом асосида ишловчи 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Ф.Комилов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келгусида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</w:t>
      </w:r>
      <w:bookmarkStart w:id="0" w:name="_GoBack"/>
      <w:bookmarkEnd w:id="0"/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аъминотчи»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деб номланади ва иккинчи томондан  </w:t>
      </w:r>
      <w:r w:rsidR="00311B90" w:rsidRP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uz-Cyrl-UZ" w:eastAsia="ru-RU"/>
        </w:rPr>
        <w:t>Избоскан туман мактабгача таълим бўлими</w:t>
      </w:r>
      <w:r w:rsidR="00311B90" w:rsidRPr="00251F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z-Cyrl-UZ" w:eastAsia="ru-RU"/>
        </w:rPr>
        <w:t xml:space="preserve">  номидан низом асосида ишловчи </w:t>
      </w:r>
      <w:r w:rsidR="00311B90" w:rsidRP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uz-Cyrl-UZ" w:eastAsia="ru-RU"/>
        </w:rPr>
        <w:t>Н.Қобилова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унинг рахбари   келгусида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«Истеъмолчи»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деб номланиб, қуйидаги мазмунда шартнома туздик.</w:t>
      </w:r>
    </w:p>
    <w:p w:rsidR="00311B90" w:rsidRPr="00743585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1.ШАРТНОМА МАЗМУНИ</w:t>
      </w:r>
    </w:p>
    <w:p w:rsidR="00311B90" w:rsidRPr="00743585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1.1 </w:t>
      </w: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ўзига тегишли бўлган ва келишилган қуйидаги молларни етказиб беради, </w:t>
      </w: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«Истеъмолчи»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эса ушбу молларни қабул қилиб олиб хисоб - китоб қилади.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қуйидагича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(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cўмда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tbl>
      <w:tblPr>
        <w:tblW w:w="9214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893"/>
        <w:gridCol w:w="992"/>
        <w:gridCol w:w="1134"/>
        <w:gridCol w:w="1134"/>
        <w:gridCol w:w="1701"/>
      </w:tblGrid>
      <w:tr w:rsidR="00311B90" w:rsidRPr="00311B90" w:rsidTr="00251FED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3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Махсулот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Ўлчов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бирлиги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Миқдори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Нархи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Умумий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қиймати</w:t>
            </w:r>
            <w:proofErr w:type="spellEnd"/>
          </w:p>
        </w:tc>
      </w:tr>
      <w:tr w:rsidR="006B2C62" w:rsidRPr="00311B90" w:rsidTr="00251FED">
        <w:trPr>
          <w:trHeight w:val="869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251FED" w:rsidRDefault="006B2C62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251FED" w:rsidRDefault="00524ABC" w:rsidP="00F7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251FED">
              <w:rPr>
                <w:rStyle w:val="a7"/>
                <w:rFonts w:ascii="Montserrat" w:hAnsi="Montserrat"/>
                <w:b/>
                <w:i w:val="0"/>
                <w:color w:val="000000"/>
                <w:sz w:val="21"/>
                <w:szCs w:val="21"/>
                <w:shd w:val="clear" w:color="auto" w:fill="FFFFFF"/>
                <w:lang w:val="uz-Cyrl-UZ"/>
              </w:rPr>
              <w:t>Гилам (</w:t>
            </w:r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2 м *8 м</w:t>
            </w:r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311B90" w:rsidRDefault="00377257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524ABC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900</w:t>
            </w:r>
            <w:r w:rsidR="006E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3600000,0</w:t>
            </w:r>
          </w:p>
        </w:tc>
      </w:tr>
      <w:tr w:rsidR="004752F0" w:rsidRPr="00311B90" w:rsidTr="00251FED">
        <w:trPr>
          <w:trHeight w:val="1662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Pr="00251FED" w:rsidRDefault="004752F0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Pr="00251FED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Pr="00251FED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Pr="00251FED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Pr="00251FED" w:rsidRDefault="00524ABC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2</w:t>
            </w:r>
          </w:p>
          <w:p w:rsidR="00EB6CD9" w:rsidRPr="00251FED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Pr="00251FED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Pr="00251FED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Pr="00251FED" w:rsidRDefault="00524ABC" w:rsidP="00524ABC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524ABC"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  <w:t> Кондиционер бытово</w:t>
            </w:r>
            <w:proofErr w:type="gramStart"/>
            <w:r w:rsidRPr="00524ABC"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  <w:t>й</w:t>
            </w:r>
            <w:r w:rsidRPr="00251FED"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  <w:t>(</w:t>
            </w:r>
            <w:proofErr w:type="gram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 xml:space="preserve">Тип сплит-система, Уровень шума 48 / 57 дБ, Габариты </w:t>
            </w:r>
            <w:proofErr w:type="spell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наруж</w:t>
            </w:r>
            <w:proofErr w:type="spell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 xml:space="preserve">. Блока 660 x 803 x 303 </w:t>
            </w:r>
            <w:proofErr w:type="spell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мм</w:t>
            </w:r>
            <w:proofErr w:type="gram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,Г</w:t>
            </w:r>
            <w:proofErr w:type="gram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абариты</w:t>
            </w:r>
            <w:proofErr w:type="spell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внутрен</w:t>
            </w:r>
            <w:proofErr w:type="spell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. блока 240 x 970 x 315 мм</w:t>
            </w:r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524ABC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6250000,0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12500000,0</w:t>
            </w:r>
          </w:p>
        </w:tc>
      </w:tr>
      <w:tr w:rsidR="00377257" w:rsidRPr="00311B90" w:rsidTr="00251FED">
        <w:trPr>
          <w:trHeight w:val="67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251FED" w:rsidRDefault="00524ABC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3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251FED" w:rsidRDefault="00524ABC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Воданагревател(</w:t>
            </w:r>
          </w:p>
          <w:p w:rsidR="00524ABC" w:rsidRPr="00251FED" w:rsidRDefault="00524ABC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proofErr w:type="spell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>аксимальная</w:t>
            </w:r>
            <w:proofErr w:type="spell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 xml:space="preserve"> температура нагрева воды 70 °C Потребляемая мощность 1500 Вт Полезная мощность 1.5 кВт Напряжение сети 220</w:t>
            </w:r>
            <w:proofErr w:type="gram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 xml:space="preserve"> В</w:t>
            </w:r>
            <w:proofErr w:type="gram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  <w:shd w:val="clear" w:color="auto" w:fill="FFFFFF"/>
              </w:rPr>
              <w:t xml:space="preserve"> Управление механическое Особенности термометр Объем бака 100 л Внутреннее покрытие бака эмаль Дополнительная информация мощность нагревательного элемента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6E02C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FC7CAF" w:rsidP="00FC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450000,0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1350000,0</w:t>
            </w:r>
          </w:p>
        </w:tc>
      </w:tr>
      <w:tr w:rsidR="00524ABC" w:rsidRPr="00311B90" w:rsidTr="00251FED">
        <w:trPr>
          <w:trHeight w:val="67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Pr="00251FED" w:rsidRDefault="00524ABC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4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Pr="00251FED" w:rsidRDefault="00524ABC" w:rsidP="00524ABC">
            <w:pPr>
              <w:pStyle w:val="5"/>
              <w:shd w:val="clear" w:color="auto" w:fill="FFFFFF"/>
              <w:spacing w:before="0" w:beforeAutospacing="0"/>
              <w:rPr>
                <w:color w:val="000000"/>
                <w:sz w:val="24"/>
                <w:szCs w:val="24"/>
                <w:u w:val="single"/>
              </w:rPr>
            </w:pPr>
            <w:r w:rsidRPr="00251FED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хона </w:t>
            </w:r>
            <w:proofErr w:type="spellStart"/>
            <w:r w:rsidRPr="00251FED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исситиш</w:t>
            </w:r>
            <w:proofErr w:type="spellEnd"/>
            <w:r w:rsidRPr="00251FED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51FED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учун</w:t>
            </w:r>
            <w:proofErr w:type="spellEnd"/>
            <w:r w:rsidRPr="00251FED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51FED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нагревате</w:t>
            </w:r>
            <w:proofErr w:type="gramStart"/>
            <w:r w:rsidRPr="00251FED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л</w:t>
            </w:r>
            <w:proofErr w:type="spellEnd"/>
            <w:r w:rsidRPr="00251FED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251FED">
              <w:rPr>
                <w:rFonts w:ascii="Montserrat" w:hAnsi="Montserrat"/>
                <w:bCs w:val="0"/>
              </w:rPr>
              <w:t>Нагревательные элементы</w:t>
            </w:r>
            <w:r w:rsidRPr="00251FED">
              <w:rPr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Default="00524ABC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 xml:space="preserve">Дона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1450000,0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5800000,0</w:t>
            </w:r>
          </w:p>
        </w:tc>
      </w:tr>
      <w:tr w:rsidR="00524ABC" w:rsidRPr="00311B90" w:rsidTr="00251FED">
        <w:trPr>
          <w:trHeight w:val="93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Pr="00251FED" w:rsidRDefault="00524ABC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5</w:t>
            </w:r>
          </w:p>
          <w:p w:rsidR="00524ABC" w:rsidRPr="00251FED" w:rsidRDefault="00524ABC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Pr="00251FED" w:rsidRDefault="00524ABC" w:rsidP="00524ABC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Montserrat" w:hAnsi="Montserrat"/>
                <w:b/>
                <w:color w:val="000000"/>
                <w:sz w:val="21"/>
                <w:szCs w:val="21"/>
              </w:rPr>
            </w:pPr>
            <w:proofErr w:type="spell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>Икки</w:t>
            </w:r>
            <w:proofErr w:type="spell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>камерали</w:t>
            </w:r>
            <w:proofErr w:type="spell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>совутги</w:t>
            </w:r>
            <w:proofErr w:type="gram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>ч</w:t>
            </w:r>
            <w:proofErr w:type="spell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>(</w:t>
            </w:r>
            <w:proofErr w:type="gram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 xml:space="preserve"> Ширина 600 мм Глубина 645 мм Высота 1630 мм Вес 57 кг Общий </w:t>
            </w:r>
            <w:proofErr w:type="spellStart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>бъем</w:t>
            </w:r>
            <w:proofErr w:type="spellEnd"/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 xml:space="preserve"> 280 л</w:t>
            </w:r>
            <w:r w:rsidRPr="00251FED">
              <w:rPr>
                <w:rFonts w:ascii="Montserrat" w:hAnsi="Montserrat"/>
                <w:b/>
                <w:color w:val="000000"/>
                <w:sz w:val="21"/>
                <w:szCs w:val="21"/>
              </w:rPr>
              <w:t>)</w:t>
            </w:r>
          </w:p>
          <w:p w:rsidR="00524ABC" w:rsidRPr="00251FED" w:rsidRDefault="00524ABC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Default="00524ABC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2900000,0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524ABC" w:rsidRDefault="00FC7CAF" w:rsidP="00FE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17400000,0</w:t>
            </w:r>
          </w:p>
        </w:tc>
      </w:tr>
      <w:tr w:rsidR="00311B90" w:rsidRPr="00311B90" w:rsidTr="00251FED">
        <w:trPr>
          <w:trHeight w:val="508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251FED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251FED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Жами</w:t>
            </w:r>
            <w:proofErr w:type="spellEnd"/>
            <w:proofErr w:type="gram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BF396D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ххх</w:t>
            </w:r>
            <w:r w:rsidR="00311B90"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BF396D" w:rsidRDefault="00FC7CAF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BF396D" w:rsidRDefault="00BF396D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ххх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251FED" w:rsidRPr="00251FED" w:rsidRDefault="00251FED" w:rsidP="0025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z-Cyrl-UZ" w:eastAsia="ru-RU"/>
              </w:rPr>
              <w:t>40650000,0</w:t>
            </w:r>
          </w:p>
        </w:tc>
      </w:tr>
    </w:tbl>
    <w:p w:rsidR="008A1F44" w:rsidRDefault="008A1F44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</w:pPr>
    </w:p>
    <w:p w:rsidR="00311B90" w:rsidRPr="006B2C62" w:rsidRDefault="006B2C62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Шартноманинг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умумий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суммаси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40650</w:t>
      </w:r>
      <w:r w:rsid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000,0 </w:t>
      </w:r>
      <w:proofErr w:type="gramStart"/>
      <w:r w:rsid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End"/>
      <w:r w:rsidR="006E0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Кирк олти миллион 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олти юз </w:t>
      </w:r>
      <w:r w:rsidR="006E0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эллик минг сум</w:t>
      </w:r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311B90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11B90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251FED" w:rsidRPr="006B2C62" w:rsidRDefault="00311B90" w:rsidP="00251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Шундан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маблағлари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хисобидан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40650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000,0 ( </w:t>
      </w:r>
      <w:r w:rsidR="0025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Кирк олти миллион олти юз эллик минг сум</w:t>
      </w:r>
      <w:r w:rsidR="00251FED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251FED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="00251FED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251FED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="00251FED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Бюджетдан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маблағлар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хисобидан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 ________</w:t>
      </w:r>
      <w:r w:rsidRPr="00311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F73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(__________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_________)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</w:t>
      </w:r>
      <w:proofErr w:type="spellEnd"/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2. ТОВАР МАХСУЛОТНИНГ СИФАТИ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товар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меъёрларга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  <w:t xml:space="preserve"> 3. ШАРТНОМА ҚИЙМАТИ ВА ХИСО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Б-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КИТОБ ТАРТИБИ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Маҳқамасининг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414-сонли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кетма-кетлигига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варағдаги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қолдиққа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тариқасида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охирги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70  %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хисобвара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оширилгандан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4.ТОМОНЛАРНИНГ ХУҚ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УҚ ВА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МАЖБУРИЯТЛАРИ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узил-кесил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асоссиз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борувчи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нормативлардан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чекинишга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ШАРТНОМАНИНГ БАЖАРИЛИШИ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қуйилмайди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5.5.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маъсул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фактура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туркумларини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санасини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хақлидир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бошланишидан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6.ТОМОНЛАРНИНГ ЖАВОБГАРЛИГИ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стандарт техник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Това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0,5 %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қийматииинг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кечитктирилган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0,4 %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суммасинниг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чора-тадбирлари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қоролик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қўлланилади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МАЖОР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7.1.Томонларга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булмас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Фавкулодда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холатларга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ёнгин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кимирлаши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харбий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фармонлари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Махкамасининг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карорлари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тасдикланган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Юкоридаги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дархол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8.НИЗОЛАРНИ ХАЛ ЭТИШ ТАРТИБИ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чиққан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қоидага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мустакил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кўрадилар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этилмаса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иктисодий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оркали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ҚЎШИМЧА   ШАРТЛАР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бузилса,ўзаро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худудий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декабргача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10. ТОМОНЛАР БАНК РЕКВИЗИТЛАРИ  ВА МАНЗИЛГОХЛАРИ.</w:t>
      </w:r>
    </w:p>
    <w:p w:rsidR="00311B90" w:rsidRPr="00311B90" w:rsidRDefault="00311B90" w:rsidP="00311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52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4789"/>
      </w:tblGrid>
      <w:tr w:rsidR="00311B90" w:rsidRPr="00311B90" w:rsidTr="00377257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«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 </w:t>
            </w:r>
          </w:p>
          <w:p w:rsidR="00377257" w:rsidRDefault="00251FED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INTENSIV MAX PRO</w:t>
            </w: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77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МЧЖ</w:t>
            </w:r>
            <w:r w:rsidR="00743585"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6E02CF" w:rsidRDefault="00377257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Андижон шахар</w:t>
            </w:r>
          </w:p>
          <w:p w:rsidR="00311B90" w:rsidRPr="008A1F44" w:rsidRDefault="00311B90" w:rsidP="0031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МФ</w:t>
            </w:r>
            <w:r w:rsidRPr="00601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О:  </w:t>
            </w:r>
            <w:r w:rsidR="00F7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000</w:t>
            </w:r>
            <w:r w:rsid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83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СТИР:  </w:t>
            </w:r>
            <w:r w:rsid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309196407</w:t>
            </w:r>
          </w:p>
          <w:p w:rsidR="00F0218B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Хисоб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20208000205479179001</w:t>
            </w:r>
          </w:p>
          <w:p w:rsidR="00F0218B" w:rsidRDefault="008A1F44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н</w:t>
            </w:r>
            <w:proofErr w:type="spellStart"/>
            <w:r w:rsidR="00311B90"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оми</w:t>
            </w:r>
            <w:proofErr w:type="spellEnd"/>
            <w:r w:rsidR="00311B90"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Савдогар банк</w:t>
            </w:r>
          </w:p>
          <w:p w:rsidR="00311B90" w:rsidRPr="008A1F44" w:rsidRDefault="00F73D0D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Андижон минтакавий филиали</w:t>
            </w:r>
          </w:p>
          <w:p w:rsidR="00311B90" w:rsidRPr="008A1F44" w:rsidRDefault="00311B90" w:rsidP="0074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7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Андижон шахар</w:t>
            </w:r>
          </w:p>
          <w:p w:rsidR="00311B90" w:rsidRPr="008A1F44" w:rsidRDefault="00311B90" w:rsidP="00F0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 +99891</w:t>
            </w:r>
            <w:r w:rsidR="008A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496</w:t>
            </w:r>
            <w:r w:rsidR="00F0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9990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z-Cyrl-UZ" w:eastAsia="ru-RU"/>
              </w:rPr>
              <w:tab/>
              <w:t xml:space="preserve"> “Истеъмолчи”</w:t>
            </w:r>
          </w:p>
          <w:p w:rsidR="00311B90" w:rsidRPr="00251FED" w:rsidRDefault="00311B90" w:rsidP="00311B90">
            <w:pPr>
              <w:spacing w:after="0" w:line="240" w:lineRule="auto"/>
              <w:ind w:left="-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z-Cyrl-UZ" w:eastAsia="ru-RU"/>
              </w:rPr>
              <w:t xml:space="preserve">    </w:t>
            </w: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z-Cyrl-UZ" w:eastAsia="ru-RU"/>
              </w:rPr>
              <w:t>Избоскан туман МТБ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z-Cyrl-UZ"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z-Cyrl-UZ" w:eastAsia="ru-RU"/>
              </w:rPr>
              <w:t>Манзил: Пойтуг ш</w:t>
            </w:r>
            <w:r w:rsidRPr="0025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z-Cyrl-UZ" w:eastAsia="ru-RU"/>
              </w:rPr>
              <w:t xml:space="preserve">  </w:t>
            </w: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z-Cyrl-UZ" w:eastAsia="ru-RU"/>
              </w:rPr>
              <w:t>Накшбанд куча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Банк </w:t>
            </w:r>
            <w:proofErr w:type="spell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маълумоти</w:t>
            </w:r>
            <w:proofErr w:type="spellEnd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х/</w:t>
            </w:r>
            <w:proofErr w:type="gram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: 23402000300100001010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х/</w:t>
            </w:r>
            <w:proofErr w:type="gram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proofErr w:type="gramEnd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:100022860032147091100251024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СТИР:305158448    МФО:92400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Банк </w:t>
            </w:r>
            <w:proofErr w:type="spell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номи</w:t>
            </w:r>
            <w:proofErr w:type="spellEnd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:  </w:t>
            </w:r>
            <w:proofErr w:type="spell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Марказий</w:t>
            </w:r>
            <w:proofErr w:type="spellEnd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  <w:proofErr w:type="gram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.Т</w:t>
            </w:r>
            <w:proofErr w:type="gramEnd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ошкент</w:t>
            </w:r>
            <w:proofErr w:type="spellEnd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ш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Тел:</w:t>
            </w: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ab/>
              <w:t xml:space="preserve"> +998996020079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   </w:t>
            </w: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311B90" w:rsidRPr="00311B90" w:rsidTr="00377257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BF396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____________ </w:t>
            </w:r>
            <w:r w:rsid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Ф.Комилов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Рахбар</w:t>
            </w:r>
            <w:proofErr w:type="spellEnd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: __________  </w:t>
            </w:r>
            <w:proofErr w:type="spellStart"/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Н.Қобилова</w:t>
            </w:r>
            <w:proofErr w:type="spellEnd"/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11B90" w:rsidRPr="00251FED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Pr="0025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</w:tbl>
    <w:p w:rsidR="0085119E" w:rsidRDefault="0085119E"/>
    <w:p w:rsidR="00377257" w:rsidRDefault="00377257"/>
    <w:sectPr w:rsidR="0037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8CB"/>
    <w:multiLevelType w:val="multilevel"/>
    <w:tmpl w:val="FCE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0"/>
    <w:rsid w:val="00006450"/>
    <w:rsid w:val="000079B0"/>
    <w:rsid w:val="00036549"/>
    <w:rsid w:val="000534B0"/>
    <w:rsid w:val="00055E6D"/>
    <w:rsid w:val="000755BA"/>
    <w:rsid w:val="000805C0"/>
    <w:rsid w:val="00092E33"/>
    <w:rsid w:val="000A1A62"/>
    <w:rsid w:val="000A65A3"/>
    <w:rsid w:val="000B09C3"/>
    <w:rsid w:val="000B50F8"/>
    <w:rsid w:val="000B50FD"/>
    <w:rsid w:val="00106B37"/>
    <w:rsid w:val="00113BFF"/>
    <w:rsid w:val="00115696"/>
    <w:rsid w:val="001229CA"/>
    <w:rsid w:val="00125024"/>
    <w:rsid w:val="00131AC2"/>
    <w:rsid w:val="00135F48"/>
    <w:rsid w:val="00136EBA"/>
    <w:rsid w:val="00154032"/>
    <w:rsid w:val="001A350B"/>
    <w:rsid w:val="001A7A92"/>
    <w:rsid w:val="001B0739"/>
    <w:rsid w:val="001D684E"/>
    <w:rsid w:val="001E7C36"/>
    <w:rsid w:val="0021103A"/>
    <w:rsid w:val="00223435"/>
    <w:rsid w:val="00223EAC"/>
    <w:rsid w:val="00232950"/>
    <w:rsid w:val="00241873"/>
    <w:rsid w:val="002441D6"/>
    <w:rsid w:val="00244F3D"/>
    <w:rsid w:val="002505C4"/>
    <w:rsid w:val="00251FED"/>
    <w:rsid w:val="0025348D"/>
    <w:rsid w:val="00266761"/>
    <w:rsid w:val="002B7E62"/>
    <w:rsid w:val="002D396C"/>
    <w:rsid w:val="002D4230"/>
    <w:rsid w:val="002F67B4"/>
    <w:rsid w:val="003050B2"/>
    <w:rsid w:val="00307904"/>
    <w:rsid w:val="00311B90"/>
    <w:rsid w:val="00325D96"/>
    <w:rsid w:val="00335A10"/>
    <w:rsid w:val="0034240F"/>
    <w:rsid w:val="00344DEE"/>
    <w:rsid w:val="003577CB"/>
    <w:rsid w:val="003706BB"/>
    <w:rsid w:val="00374921"/>
    <w:rsid w:val="00376B71"/>
    <w:rsid w:val="00377257"/>
    <w:rsid w:val="00377F12"/>
    <w:rsid w:val="003853F6"/>
    <w:rsid w:val="003921AB"/>
    <w:rsid w:val="00397EB6"/>
    <w:rsid w:val="003A4D11"/>
    <w:rsid w:val="003B410F"/>
    <w:rsid w:val="003B7998"/>
    <w:rsid w:val="003C166B"/>
    <w:rsid w:val="003E70B9"/>
    <w:rsid w:val="003F18EF"/>
    <w:rsid w:val="003F61BB"/>
    <w:rsid w:val="00404BD5"/>
    <w:rsid w:val="00415BD0"/>
    <w:rsid w:val="00437330"/>
    <w:rsid w:val="00441CDD"/>
    <w:rsid w:val="00444AA9"/>
    <w:rsid w:val="004752F0"/>
    <w:rsid w:val="00483285"/>
    <w:rsid w:val="004956E9"/>
    <w:rsid w:val="004A02F5"/>
    <w:rsid w:val="004A6A97"/>
    <w:rsid w:val="004D003F"/>
    <w:rsid w:val="005148B3"/>
    <w:rsid w:val="00524ABC"/>
    <w:rsid w:val="00532FF0"/>
    <w:rsid w:val="0054163C"/>
    <w:rsid w:val="00547712"/>
    <w:rsid w:val="0055073E"/>
    <w:rsid w:val="00567B48"/>
    <w:rsid w:val="00583809"/>
    <w:rsid w:val="00591AAA"/>
    <w:rsid w:val="005A486C"/>
    <w:rsid w:val="005A5D0C"/>
    <w:rsid w:val="005B34E5"/>
    <w:rsid w:val="005B45F8"/>
    <w:rsid w:val="005D0864"/>
    <w:rsid w:val="005D08BE"/>
    <w:rsid w:val="005F3DAE"/>
    <w:rsid w:val="006013DC"/>
    <w:rsid w:val="006106AA"/>
    <w:rsid w:val="00611023"/>
    <w:rsid w:val="00622AC9"/>
    <w:rsid w:val="006277A1"/>
    <w:rsid w:val="0064616E"/>
    <w:rsid w:val="00650183"/>
    <w:rsid w:val="00681AC3"/>
    <w:rsid w:val="00691223"/>
    <w:rsid w:val="00696514"/>
    <w:rsid w:val="006A0EBF"/>
    <w:rsid w:val="006B2C62"/>
    <w:rsid w:val="006C6E61"/>
    <w:rsid w:val="006D1BB8"/>
    <w:rsid w:val="006D2326"/>
    <w:rsid w:val="006E02CF"/>
    <w:rsid w:val="006E27B0"/>
    <w:rsid w:val="006E4E09"/>
    <w:rsid w:val="00705AC8"/>
    <w:rsid w:val="00717106"/>
    <w:rsid w:val="00731CC1"/>
    <w:rsid w:val="0073370D"/>
    <w:rsid w:val="00737416"/>
    <w:rsid w:val="00743585"/>
    <w:rsid w:val="00753AB2"/>
    <w:rsid w:val="00756A89"/>
    <w:rsid w:val="00762A92"/>
    <w:rsid w:val="0078399D"/>
    <w:rsid w:val="007979B9"/>
    <w:rsid w:val="007B012D"/>
    <w:rsid w:val="007D0FA5"/>
    <w:rsid w:val="00814EC4"/>
    <w:rsid w:val="00822232"/>
    <w:rsid w:val="00822A6F"/>
    <w:rsid w:val="0085119E"/>
    <w:rsid w:val="00851CE0"/>
    <w:rsid w:val="00853583"/>
    <w:rsid w:val="008535AF"/>
    <w:rsid w:val="00854BBC"/>
    <w:rsid w:val="008611C6"/>
    <w:rsid w:val="00871EDE"/>
    <w:rsid w:val="008944DD"/>
    <w:rsid w:val="0089563F"/>
    <w:rsid w:val="00897C32"/>
    <w:rsid w:val="008A1C4C"/>
    <w:rsid w:val="008A1F44"/>
    <w:rsid w:val="008D1F6D"/>
    <w:rsid w:val="008E307F"/>
    <w:rsid w:val="008E61AC"/>
    <w:rsid w:val="008E7F2E"/>
    <w:rsid w:val="009041BF"/>
    <w:rsid w:val="00906628"/>
    <w:rsid w:val="00920A6B"/>
    <w:rsid w:val="009220BF"/>
    <w:rsid w:val="009305D0"/>
    <w:rsid w:val="00943E64"/>
    <w:rsid w:val="0098268F"/>
    <w:rsid w:val="0099034C"/>
    <w:rsid w:val="00990CDF"/>
    <w:rsid w:val="00991A2D"/>
    <w:rsid w:val="00992128"/>
    <w:rsid w:val="00994FD6"/>
    <w:rsid w:val="00995790"/>
    <w:rsid w:val="009959D6"/>
    <w:rsid w:val="009B5E6B"/>
    <w:rsid w:val="009C54D5"/>
    <w:rsid w:val="009D0DEE"/>
    <w:rsid w:val="00A25A40"/>
    <w:rsid w:val="00A402FD"/>
    <w:rsid w:val="00A423DB"/>
    <w:rsid w:val="00A52A62"/>
    <w:rsid w:val="00A746CD"/>
    <w:rsid w:val="00A82BA4"/>
    <w:rsid w:val="00A8531E"/>
    <w:rsid w:val="00AA6CC7"/>
    <w:rsid w:val="00AB67AC"/>
    <w:rsid w:val="00AB6D0E"/>
    <w:rsid w:val="00AC27DE"/>
    <w:rsid w:val="00AC6AB2"/>
    <w:rsid w:val="00B1633D"/>
    <w:rsid w:val="00B16429"/>
    <w:rsid w:val="00B16D62"/>
    <w:rsid w:val="00B43104"/>
    <w:rsid w:val="00B5221F"/>
    <w:rsid w:val="00B536E6"/>
    <w:rsid w:val="00B5701F"/>
    <w:rsid w:val="00B70679"/>
    <w:rsid w:val="00B7497E"/>
    <w:rsid w:val="00B96763"/>
    <w:rsid w:val="00BA474E"/>
    <w:rsid w:val="00BD2E7E"/>
    <w:rsid w:val="00BF396D"/>
    <w:rsid w:val="00C06849"/>
    <w:rsid w:val="00C10283"/>
    <w:rsid w:val="00C11288"/>
    <w:rsid w:val="00C11B5C"/>
    <w:rsid w:val="00C20354"/>
    <w:rsid w:val="00C401D5"/>
    <w:rsid w:val="00C608EB"/>
    <w:rsid w:val="00C670C3"/>
    <w:rsid w:val="00C76EA3"/>
    <w:rsid w:val="00C84C5E"/>
    <w:rsid w:val="00C872EA"/>
    <w:rsid w:val="00CA3714"/>
    <w:rsid w:val="00CB5D17"/>
    <w:rsid w:val="00CC2E22"/>
    <w:rsid w:val="00CF5466"/>
    <w:rsid w:val="00D02168"/>
    <w:rsid w:val="00D13089"/>
    <w:rsid w:val="00D40492"/>
    <w:rsid w:val="00DB5772"/>
    <w:rsid w:val="00DE048C"/>
    <w:rsid w:val="00DE052D"/>
    <w:rsid w:val="00DE56B2"/>
    <w:rsid w:val="00DE64E5"/>
    <w:rsid w:val="00DE65A3"/>
    <w:rsid w:val="00DF5332"/>
    <w:rsid w:val="00E0330E"/>
    <w:rsid w:val="00E1038C"/>
    <w:rsid w:val="00E15AF7"/>
    <w:rsid w:val="00E17AAA"/>
    <w:rsid w:val="00E22F35"/>
    <w:rsid w:val="00E241BC"/>
    <w:rsid w:val="00E47845"/>
    <w:rsid w:val="00E61786"/>
    <w:rsid w:val="00E61A2C"/>
    <w:rsid w:val="00E63FCE"/>
    <w:rsid w:val="00E66A75"/>
    <w:rsid w:val="00EA44C8"/>
    <w:rsid w:val="00EB6CD9"/>
    <w:rsid w:val="00EC6857"/>
    <w:rsid w:val="00EF6123"/>
    <w:rsid w:val="00F0218B"/>
    <w:rsid w:val="00F038FE"/>
    <w:rsid w:val="00F066E9"/>
    <w:rsid w:val="00F30570"/>
    <w:rsid w:val="00F6385B"/>
    <w:rsid w:val="00F73D0D"/>
    <w:rsid w:val="00F75C58"/>
    <w:rsid w:val="00FC0B52"/>
    <w:rsid w:val="00FC17E5"/>
    <w:rsid w:val="00FC652E"/>
    <w:rsid w:val="00FC7CAF"/>
    <w:rsid w:val="00FD4D7E"/>
    <w:rsid w:val="00FD5BCB"/>
    <w:rsid w:val="00FE511F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24A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F73D0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524A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24A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F73D0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524A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Ikromiddin</dc:creator>
  <cp:lastModifiedBy>Ikromiddin</cp:lastModifiedBy>
  <cp:revision>3</cp:revision>
  <cp:lastPrinted>2022-07-20T04:03:00Z</cp:lastPrinted>
  <dcterms:created xsi:type="dcterms:W3CDTF">2022-10-12T15:27:00Z</dcterms:created>
  <dcterms:modified xsi:type="dcterms:W3CDTF">2022-10-24T05:26:00Z</dcterms:modified>
</cp:coreProperties>
</file>