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1A7AE0">
        <w:rPr>
          <w:rFonts w:ascii="Times New Roman" w:eastAsia="Times New Roman" w:hAnsi="Times New Roman" w:cs="Times New Roman"/>
          <w:b/>
          <w:bCs/>
          <w:color w:val="000000"/>
          <w:sz w:val="28"/>
          <w:szCs w:val="28"/>
          <w:lang w:eastAsia="ru-RU"/>
        </w:rPr>
        <w:t xml:space="preserve">ПУДРАТ ИШЛАРИНИ БАЖАРИШ </w:t>
      </w:r>
      <w:r w:rsidR="000F7C58">
        <w:rPr>
          <w:rFonts w:ascii="Times New Roman" w:eastAsia="Times New Roman" w:hAnsi="Times New Roman" w:cs="Times New Roman"/>
          <w:b/>
          <w:bCs/>
          <w:color w:val="000000"/>
          <w:sz w:val="28"/>
          <w:szCs w:val="28"/>
          <w:lang w:val="uz-Cyrl-UZ" w:eastAsia="ru-RU"/>
        </w:rPr>
        <w:t>БЎЙИЧА</w:t>
      </w:r>
    </w:p>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t xml:space="preserve">ШАРТНОМА </w:t>
      </w:r>
      <w:r w:rsidR="003F0987">
        <w:rPr>
          <w:rFonts w:ascii="Times New Roman" w:eastAsia="Times New Roman" w:hAnsi="Times New Roman" w:cs="Times New Roman"/>
          <w:b/>
          <w:bCs/>
          <w:color w:val="000000"/>
          <w:sz w:val="28"/>
          <w:szCs w:val="28"/>
          <w:lang w:eastAsia="ru-RU"/>
        </w:rPr>
        <w:t>23 мактаб</w:t>
      </w:r>
      <w:r w:rsidR="006D4967" w:rsidRPr="006D4967">
        <w:rPr>
          <w:rFonts w:ascii="Times New Roman" w:eastAsia="Times New Roman" w:hAnsi="Times New Roman" w:cs="Times New Roman"/>
          <w:b/>
          <w:bCs/>
          <w:color w:val="000000"/>
          <w:sz w:val="28"/>
          <w:szCs w:val="28"/>
          <w:lang w:eastAsia="ru-RU"/>
        </w:rPr>
        <w:t>ни жорий таъмирлаш</w:t>
      </w:r>
      <w:r w:rsidR="006D4967">
        <w:rPr>
          <w:rFonts w:ascii="Times New Roman" w:eastAsia="Times New Roman" w:hAnsi="Times New Roman" w:cs="Times New Roman"/>
          <w:b/>
          <w:bCs/>
          <w:color w:val="000000"/>
          <w:sz w:val="28"/>
          <w:szCs w:val="28"/>
          <w:lang w:eastAsia="ru-RU"/>
        </w:rPr>
        <w:t xml:space="preserve">      </w:t>
      </w:r>
      <w:r w:rsidRPr="001A7AE0">
        <w:rPr>
          <w:rFonts w:ascii="Times New Roman" w:eastAsia="Times New Roman" w:hAnsi="Times New Roman" w:cs="Times New Roman"/>
          <w:b/>
          <w:bCs/>
          <w:color w:val="000000"/>
          <w:sz w:val="28"/>
          <w:szCs w:val="28"/>
          <w:lang w:eastAsia="ru-RU"/>
        </w:rPr>
        <w:t>-сонли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 </w:t>
      </w:r>
    </w:p>
    <w:tbl>
      <w:tblPr>
        <w:tblW w:w="0" w:type="auto"/>
        <w:tblCellSpacing w:w="0" w:type="dxa"/>
        <w:tblLook w:val="04A0" w:firstRow="1" w:lastRow="0" w:firstColumn="1" w:lastColumn="0" w:noHBand="0" w:noVBand="1"/>
      </w:tblPr>
      <w:tblGrid>
        <w:gridCol w:w="2774"/>
        <w:gridCol w:w="2672"/>
        <w:gridCol w:w="3903"/>
      </w:tblGrid>
      <w:tr w:rsidR="001A7AE0" w:rsidRPr="001A7AE0" w:rsidTr="001A7AE0">
        <w:trPr>
          <w:trHeight w:val="494"/>
          <w:tblCellSpacing w:w="0" w:type="dxa"/>
        </w:trPr>
        <w:tc>
          <w:tcPr>
            <w:tcW w:w="2774" w:type="dxa"/>
            <w:tcBorders>
              <w:top w:val="nil"/>
              <w:left w:val="nil"/>
              <w:bottom w:val="nil"/>
              <w:right w:val="nil"/>
            </w:tcBorders>
            <w:vAlign w:val="center"/>
            <w:hideMark/>
          </w:tcPr>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Чуст тумани </w:t>
            </w:r>
          </w:p>
        </w:tc>
        <w:tc>
          <w:tcPr>
            <w:tcW w:w="2672" w:type="dxa"/>
            <w:tcBorders>
              <w:top w:val="nil"/>
              <w:left w:val="nil"/>
              <w:bottom w:val="nil"/>
              <w:right w:val="nil"/>
            </w:tcBorders>
            <w:vAlign w:val="center"/>
            <w:hideMark/>
          </w:tcPr>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 </w:t>
            </w:r>
          </w:p>
        </w:tc>
        <w:tc>
          <w:tcPr>
            <w:tcW w:w="3903" w:type="dxa"/>
            <w:tcBorders>
              <w:top w:val="nil"/>
              <w:left w:val="nil"/>
              <w:bottom w:val="nil"/>
              <w:right w:val="nil"/>
            </w:tcBorders>
            <w:vAlign w:val="center"/>
            <w:hideMark/>
          </w:tcPr>
          <w:p w:rsidR="001A7AE0" w:rsidRPr="001A7AE0" w:rsidRDefault="001A7AE0" w:rsidP="006D4967">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202</w:t>
            </w:r>
            <w:r w:rsidR="006D4967">
              <w:rPr>
                <w:rFonts w:ascii="Times New Roman" w:eastAsia="Times New Roman" w:hAnsi="Times New Roman" w:cs="Times New Roman"/>
                <w:color w:val="000000"/>
                <w:sz w:val="28"/>
                <w:szCs w:val="28"/>
                <w:lang w:eastAsia="ru-RU"/>
              </w:rPr>
              <w:t>2</w:t>
            </w:r>
            <w:r w:rsidR="00AC6E6C">
              <w:rPr>
                <w:rFonts w:ascii="Times New Roman" w:eastAsia="Times New Roman" w:hAnsi="Times New Roman" w:cs="Times New Roman"/>
                <w:color w:val="000000"/>
                <w:sz w:val="28"/>
                <w:szCs w:val="28"/>
                <w:lang w:val="uz-Cyrl-UZ" w:eastAsia="ru-RU"/>
              </w:rPr>
              <w:t xml:space="preserve"> </w:t>
            </w:r>
            <w:r w:rsidRPr="001A7AE0">
              <w:rPr>
                <w:rFonts w:ascii="Times New Roman" w:eastAsia="Times New Roman" w:hAnsi="Times New Roman" w:cs="Times New Roman"/>
                <w:color w:val="000000"/>
                <w:sz w:val="28"/>
                <w:szCs w:val="28"/>
                <w:lang w:eastAsia="ru-RU"/>
              </w:rPr>
              <w:t>йил «____» _______</w:t>
            </w:r>
          </w:p>
        </w:tc>
      </w:tr>
    </w:tbl>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 </w:t>
      </w:r>
    </w:p>
    <w:p w:rsidR="001A7AE0" w:rsidRPr="001A7AE0" w:rsidRDefault="001A7AE0" w:rsidP="001A7AE0">
      <w:pPr>
        <w:spacing w:after="0" w:line="240" w:lineRule="auto"/>
        <w:ind w:firstLine="709"/>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Амалдаги Низом асосида иш кўрувчи, кейинчалик “Буюртмачи” деб юритилувчи Чуст туман Хал</w:t>
      </w:r>
      <w:r w:rsidR="006C2A8C">
        <w:rPr>
          <w:rFonts w:ascii="Times New Roman" w:eastAsia="Times New Roman" w:hAnsi="Times New Roman" w:cs="Times New Roman"/>
          <w:color w:val="000000"/>
          <w:sz w:val="28"/>
          <w:szCs w:val="28"/>
          <w:lang w:val="uz-Cyrl-UZ" w:eastAsia="ru-RU"/>
        </w:rPr>
        <w:t>қ</w:t>
      </w:r>
      <w:r w:rsidRPr="001A7AE0">
        <w:rPr>
          <w:rFonts w:ascii="Times New Roman" w:eastAsia="Times New Roman" w:hAnsi="Times New Roman" w:cs="Times New Roman"/>
          <w:color w:val="000000"/>
          <w:sz w:val="28"/>
          <w:szCs w:val="28"/>
          <w:lang w:eastAsia="ru-RU"/>
        </w:rPr>
        <w:t xml:space="preserve"> таълими бўлими номидан бўлим мудири Қ.Каримов бир томондан ва амалдаги Устав асосида иш кўрувчи, кейинчалик “Пудратч</w:t>
      </w:r>
      <w:r w:rsidR="008A1FDD">
        <w:rPr>
          <w:rFonts w:ascii="Times New Roman" w:eastAsia="Times New Roman" w:hAnsi="Times New Roman" w:cs="Times New Roman"/>
          <w:color w:val="000000"/>
          <w:sz w:val="28"/>
          <w:szCs w:val="28"/>
          <w:lang w:eastAsia="ru-RU"/>
        </w:rPr>
        <w:t xml:space="preserve">и” деб юритилувчи </w:t>
      </w:r>
      <w:r w:rsidR="006D4967">
        <w:rPr>
          <w:rFonts w:ascii="Times New Roman" w:eastAsia="Times New Roman" w:hAnsi="Times New Roman" w:cs="Times New Roman"/>
          <w:color w:val="000000"/>
          <w:sz w:val="28"/>
          <w:szCs w:val="28"/>
          <w:lang w:eastAsia="ru-RU"/>
        </w:rPr>
        <w:t>______________________</w:t>
      </w:r>
      <w:r w:rsidRPr="001A7AE0">
        <w:rPr>
          <w:rFonts w:ascii="Times New Roman" w:eastAsia="Times New Roman" w:hAnsi="Times New Roman" w:cs="Times New Roman"/>
          <w:color w:val="000000"/>
          <w:sz w:val="28"/>
          <w:szCs w:val="28"/>
          <w:lang w:eastAsia="ru-RU"/>
        </w:rPr>
        <w:t xml:space="preserve"> номидан қурувчи </w:t>
      </w:r>
      <w:r w:rsidR="006D4967">
        <w:rPr>
          <w:rFonts w:ascii="Times New Roman" w:eastAsia="Times New Roman" w:hAnsi="Times New Roman" w:cs="Times New Roman"/>
          <w:bCs/>
          <w:color w:val="000000"/>
          <w:sz w:val="28"/>
          <w:szCs w:val="28"/>
          <w:lang w:eastAsia="ru-RU"/>
        </w:rPr>
        <w:t>_________________</w:t>
      </w:r>
      <w:r w:rsidRPr="001A7AE0">
        <w:rPr>
          <w:rFonts w:ascii="Times New Roman" w:eastAsia="Times New Roman" w:hAnsi="Times New Roman" w:cs="Times New Roman"/>
          <w:color w:val="000000"/>
          <w:sz w:val="28"/>
          <w:szCs w:val="28"/>
          <w:lang w:eastAsia="ru-RU"/>
        </w:rPr>
        <w:t>лар мазкур шартномани қуйидагилар ҳақида туздик:</w:t>
      </w:r>
    </w:p>
    <w:p w:rsidR="001A7AE0" w:rsidRPr="001A7AE0" w:rsidRDefault="001A7AE0" w:rsidP="001A7AE0">
      <w:pPr>
        <w:spacing w:after="0" w:line="240" w:lineRule="auto"/>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 </w:t>
      </w:r>
    </w:p>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t>I. ШАРТНОМА МАВЗУСИ</w:t>
      </w:r>
    </w:p>
    <w:p w:rsidR="001A7AE0" w:rsidRPr="001A7AE0" w:rsidRDefault="001A7AE0" w:rsidP="001A7AE0">
      <w:pPr>
        <w:spacing w:after="0" w:line="240" w:lineRule="auto"/>
        <w:ind w:firstLine="720"/>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sz w:val="24"/>
          <w:szCs w:val="24"/>
          <w:lang w:eastAsia="ru-RU"/>
        </w:rPr>
        <w:t> </w:t>
      </w:r>
    </w:p>
    <w:p w:rsidR="001A7AE0" w:rsidRPr="001A7AE0" w:rsidRDefault="001A7AE0" w:rsidP="001A7AE0">
      <w:pPr>
        <w:spacing w:after="0" w:line="240" w:lineRule="auto"/>
        <w:ind w:firstLine="720"/>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1.1. Мазкур шартнома бўйича “Пудратчи” “Буюртмачи”нинг балансида</w:t>
      </w:r>
      <w:r w:rsidR="008A1FDD">
        <w:rPr>
          <w:rFonts w:ascii="Times New Roman" w:eastAsia="Times New Roman" w:hAnsi="Times New Roman" w:cs="Times New Roman"/>
          <w:color w:val="000000"/>
          <w:sz w:val="28"/>
          <w:szCs w:val="28"/>
          <w:lang w:eastAsia="ru-RU"/>
        </w:rPr>
        <w:t xml:space="preserve"> булган </w:t>
      </w:r>
      <w:r w:rsidR="006E226F">
        <w:rPr>
          <w:rFonts w:ascii="Times New Roman" w:eastAsia="Times New Roman" w:hAnsi="Times New Roman" w:cs="Times New Roman"/>
          <w:color w:val="000000"/>
          <w:sz w:val="28"/>
          <w:szCs w:val="28"/>
          <w:lang w:eastAsia="ru-RU"/>
        </w:rPr>
        <w:t xml:space="preserve">23-сонли мактабни </w:t>
      </w:r>
      <w:r w:rsidR="006E226F">
        <w:rPr>
          <w:rFonts w:ascii="Times New Roman" w:eastAsia="Times New Roman" w:hAnsi="Times New Roman" w:cs="Times New Roman"/>
          <w:color w:val="000000"/>
          <w:sz w:val="28"/>
          <w:szCs w:val="28"/>
          <w:lang w:val="uz-Cyrl-UZ" w:eastAsia="ru-RU"/>
        </w:rPr>
        <w:t xml:space="preserve"> </w:t>
      </w:r>
      <w:r w:rsidR="006D4967">
        <w:rPr>
          <w:rFonts w:ascii="Times New Roman" w:eastAsia="Times New Roman" w:hAnsi="Times New Roman" w:cs="Times New Roman"/>
          <w:color w:val="000000"/>
          <w:sz w:val="28"/>
          <w:szCs w:val="28"/>
          <w:lang w:eastAsia="ru-RU"/>
        </w:rPr>
        <w:t xml:space="preserve">жорий таъмирлаш </w:t>
      </w:r>
      <w:r w:rsidRPr="001A7AE0">
        <w:rPr>
          <w:rFonts w:ascii="Times New Roman" w:eastAsia="Times New Roman" w:hAnsi="Times New Roman" w:cs="Times New Roman"/>
          <w:color w:val="000000"/>
          <w:sz w:val="28"/>
          <w:szCs w:val="28"/>
          <w:lang w:eastAsia="ru-RU"/>
        </w:rPr>
        <w:t>қуриш ишларини бажариб бериш учун тузилди.</w:t>
      </w:r>
    </w:p>
    <w:p w:rsidR="001A7AE0" w:rsidRPr="001A7AE0" w:rsidRDefault="001A7AE0" w:rsidP="001A7AE0">
      <w:pPr>
        <w:spacing w:after="0" w:line="240" w:lineRule="auto"/>
        <w:ind w:firstLine="720"/>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1.2. Мазкур шартномада қайд этилган баҳолар “Буюртмачи</w:t>
      </w:r>
      <w:r w:rsidR="006C2A8C">
        <w:rPr>
          <w:rFonts w:ascii="Times New Roman" w:eastAsia="Times New Roman" w:hAnsi="Times New Roman" w:cs="Times New Roman"/>
          <w:color w:val="000000"/>
          <w:sz w:val="28"/>
          <w:szCs w:val="28"/>
          <w:lang w:val="uz-Cyrl-UZ" w:eastAsia="ru-RU"/>
        </w:rPr>
        <w:t>”</w:t>
      </w:r>
      <w:r w:rsidRPr="001A7AE0">
        <w:rPr>
          <w:rFonts w:ascii="Times New Roman" w:eastAsia="Times New Roman" w:hAnsi="Times New Roman" w:cs="Times New Roman"/>
          <w:color w:val="000000"/>
          <w:sz w:val="28"/>
          <w:szCs w:val="28"/>
          <w:lang w:eastAsia="ru-RU"/>
        </w:rPr>
        <w:t>нин</w:t>
      </w:r>
      <w:r w:rsidR="006D4967">
        <w:rPr>
          <w:rFonts w:ascii="Times New Roman" w:eastAsia="Times New Roman" w:hAnsi="Times New Roman" w:cs="Times New Roman"/>
          <w:color w:val="000000"/>
          <w:sz w:val="28"/>
          <w:szCs w:val="28"/>
          <w:lang w:eastAsia="ru-RU"/>
        </w:rPr>
        <w:t>г смета ҳужжатларига асосан 2022</w:t>
      </w:r>
      <w:r w:rsidRPr="001A7AE0">
        <w:rPr>
          <w:rFonts w:ascii="Times New Roman" w:eastAsia="Times New Roman" w:hAnsi="Times New Roman" w:cs="Times New Roman"/>
          <w:color w:val="000000"/>
          <w:sz w:val="28"/>
          <w:szCs w:val="28"/>
          <w:lang w:eastAsia="ru-RU"/>
        </w:rPr>
        <w:t xml:space="preserve"> йил бозор нархларида, ҚҚС қўлланган ҳолда амалга оширилади.</w:t>
      </w:r>
    </w:p>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t> </w:t>
      </w:r>
    </w:p>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t>II. ТОМОНЛАРНИНГ ҲУҚУҚ ВА МАЖБУРИЯТЛАРИ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sz w:val="24"/>
          <w:szCs w:val="24"/>
          <w:lang w:eastAsia="ru-RU"/>
        </w:rPr>
        <w:t> </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2.1. “Пудратчи”нинг мажбуриятлари: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“Буюртмачи” тақдим этилган лойиҳа смета ҳужжатлари ва бошқа ҳужжатлар қабул қилиб олиб, уни ўрганиб чиқиб шу асосда иш олиб боради.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“Пудратчи” лойиҳа-смета ҳужжатларини ўрганиб аниқланган камчиликлар юзасидан “Буюртмачи”га хабар беради.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 xml:space="preserve">Лойиҳа смета ҳужжатларида ва бажарилган ишлар далолатномасидаги лимитланган ва бошқа харажатлар “Пудратчи” ва </w:t>
      </w:r>
      <w:r w:rsidR="006C2A8C">
        <w:rPr>
          <w:rFonts w:ascii="Times New Roman" w:eastAsia="Times New Roman" w:hAnsi="Times New Roman" w:cs="Times New Roman"/>
          <w:color w:val="000000"/>
          <w:sz w:val="28"/>
          <w:szCs w:val="28"/>
          <w:lang w:val="uz-Cyrl-UZ" w:eastAsia="ru-RU"/>
        </w:rPr>
        <w:t>“</w:t>
      </w:r>
      <w:r w:rsidRPr="001A7AE0">
        <w:rPr>
          <w:rFonts w:ascii="Times New Roman" w:eastAsia="Times New Roman" w:hAnsi="Times New Roman" w:cs="Times New Roman"/>
          <w:color w:val="000000"/>
          <w:sz w:val="28"/>
          <w:szCs w:val="28"/>
          <w:lang w:eastAsia="ru-RU"/>
        </w:rPr>
        <w:t>Буюртмачи</w:t>
      </w:r>
      <w:r w:rsidR="006C2A8C">
        <w:rPr>
          <w:rFonts w:ascii="Times New Roman" w:eastAsia="Times New Roman" w:hAnsi="Times New Roman" w:cs="Times New Roman"/>
          <w:color w:val="000000"/>
          <w:sz w:val="28"/>
          <w:szCs w:val="28"/>
          <w:lang w:val="uz-Cyrl-UZ" w:eastAsia="ru-RU"/>
        </w:rPr>
        <w:t>”</w:t>
      </w:r>
      <w:r w:rsidRPr="001A7AE0">
        <w:rPr>
          <w:rFonts w:ascii="Times New Roman" w:eastAsia="Times New Roman" w:hAnsi="Times New Roman" w:cs="Times New Roman"/>
          <w:color w:val="000000"/>
          <w:sz w:val="28"/>
          <w:szCs w:val="28"/>
          <w:lang w:eastAsia="ru-RU"/>
        </w:rPr>
        <w:t xml:space="preserve"> билан ўзаро тасдиқланган Ф-05 асосида ҳисобга олинади ҳамда тўлов учун тақдим этилади.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Ушбу шартнома</w:t>
      </w:r>
      <w:r w:rsidR="006C2A8C">
        <w:rPr>
          <w:rFonts w:ascii="Times New Roman" w:eastAsia="Times New Roman" w:hAnsi="Times New Roman" w:cs="Times New Roman"/>
          <w:color w:val="000000"/>
          <w:sz w:val="28"/>
          <w:szCs w:val="28"/>
          <w:lang w:eastAsia="ru-RU"/>
        </w:rPr>
        <w:t xml:space="preserve"> шартлари асосида бажарилган муҳ</w:t>
      </w:r>
      <w:r w:rsidRPr="001A7AE0">
        <w:rPr>
          <w:rFonts w:ascii="Times New Roman" w:eastAsia="Times New Roman" w:hAnsi="Times New Roman" w:cs="Times New Roman"/>
          <w:color w:val="000000"/>
          <w:sz w:val="28"/>
          <w:szCs w:val="28"/>
          <w:lang w:eastAsia="ru-RU"/>
        </w:rPr>
        <w:t>андислик тизимлари, асбоб ускуналар ва бутловчи буюмлар, материаллардан фойдаланиш ва ишларнинг кафолатли муддати томонлар қурилиши ёки таъмирланиши тугалланган объектни қабул қилиб олиш тўғрисидаги далолатномани имзоланган кундан бошлаб камида 24 ой этиб белгиланади.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 xml:space="preserve">Ишларни қабул қилиш ва объектдан фойдаланишнинг кафолатли даврида аниқланган камчиликларни ва нуқсонларни ўз вақтида бажарувчи томонидан бартараф этишни таьминлайди. </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2.2. “Буюртмачи”нинг мажбуриятлари: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Ўз буюртманомаси ва ну</w:t>
      </w:r>
      <w:r w:rsidR="006D4967">
        <w:rPr>
          <w:rFonts w:ascii="Times New Roman" w:eastAsia="Times New Roman" w:hAnsi="Times New Roman" w:cs="Times New Roman"/>
          <w:color w:val="000000"/>
          <w:sz w:val="28"/>
          <w:szCs w:val="28"/>
          <w:lang w:val="uz-Cyrl-UZ" w:eastAsia="ru-RU"/>
        </w:rPr>
        <w:t>қ</w:t>
      </w:r>
      <w:r w:rsidRPr="001A7AE0">
        <w:rPr>
          <w:rFonts w:ascii="Times New Roman" w:eastAsia="Times New Roman" w:hAnsi="Times New Roman" w:cs="Times New Roman"/>
          <w:color w:val="000000"/>
          <w:sz w:val="28"/>
          <w:szCs w:val="28"/>
          <w:lang w:eastAsia="ru-RU"/>
        </w:rPr>
        <w:t>сон далолатномаси бўйича бажарилган қурилиш-таьмирлаш ишларини мазкур шартномага мувофиқ қабул қилади.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Бажарилган ишлар ва олдиндан тўловлар учун ҳужжатларни расмийлаштириш ва тўловларни ўз вақтида таъминлайди.</w:t>
      </w:r>
    </w:p>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t> </w:t>
      </w:r>
    </w:p>
    <w:p w:rsidR="00E2789B" w:rsidRDefault="00E2789B" w:rsidP="001A7AE0">
      <w:pPr>
        <w:spacing w:after="0" w:line="240" w:lineRule="auto"/>
        <w:jc w:val="center"/>
        <w:rPr>
          <w:rFonts w:ascii="Times New Roman" w:eastAsia="Times New Roman" w:hAnsi="Times New Roman" w:cs="Times New Roman"/>
          <w:b/>
          <w:bCs/>
          <w:color w:val="000000"/>
          <w:sz w:val="28"/>
          <w:szCs w:val="28"/>
          <w:lang w:eastAsia="ru-RU"/>
        </w:rPr>
      </w:pPr>
    </w:p>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lastRenderedPageBreak/>
        <w:t>III. ШАРТНОМАНИНГ БАҲОСИ ВА ҲИСОБ-КИТОБ ТАРТИБИ</w:t>
      </w:r>
    </w:p>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 </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3.1. Мазкур шарт</w:t>
      </w:r>
      <w:r w:rsidR="006D4967">
        <w:rPr>
          <w:rFonts w:ascii="Times New Roman" w:eastAsia="Times New Roman" w:hAnsi="Times New Roman" w:cs="Times New Roman"/>
          <w:color w:val="000000"/>
          <w:sz w:val="28"/>
          <w:szCs w:val="28"/>
          <w:lang w:eastAsia="ru-RU"/>
        </w:rPr>
        <w:t xml:space="preserve">номанинг баҳоси ҚҚС билан бирга </w:t>
      </w:r>
      <w:r w:rsidR="006D4967" w:rsidRPr="006D4967">
        <w:rPr>
          <w:rFonts w:ascii="Times New Roman" w:eastAsia="Times New Roman" w:hAnsi="Times New Roman" w:cs="Times New Roman"/>
          <w:color w:val="000000"/>
          <w:sz w:val="28"/>
          <w:szCs w:val="28"/>
          <w:lang w:eastAsia="ru-RU"/>
        </w:rPr>
        <w:t>________________________________________________________</w:t>
      </w:r>
      <w:r w:rsidRPr="001A7AE0">
        <w:rPr>
          <w:rFonts w:ascii="Times New Roman" w:eastAsia="Times New Roman" w:hAnsi="Times New Roman" w:cs="Times New Roman"/>
          <w:color w:val="000000"/>
          <w:sz w:val="28"/>
          <w:szCs w:val="28"/>
          <w:lang w:eastAsia="ru-RU"/>
        </w:rPr>
        <w:t xml:space="preserve"> сўмни ташкил этади.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3.2. Қурилиш материалларини транспортда ташиш ва тушириш бўйича барча харажатларни “Пудратчи” кўтаради.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 xml:space="preserve">3.3. “Буюртмачи” бажарилиши лозим бўлган ишларни суммасининг </w:t>
      </w:r>
      <w:r w:rsidRPr="001A7AE0">
        <w:rPr>
          <w:rFonts w:ascii="Times New Roman" w:eastAsia="Times New Roman" w:hAnsi="Times New Roman" w:cs="Times New Roman"/>
          <w:color w:val="000000"/>
          <w:sz w:val="28"/>
          <w:szCs w:val="28"/>
          <w:lang w:eastAsia="ru-RU"/>
        </w:rPr>
        <w:br/>
        <w:t>30 фоизи миқдорида олдиндан ҳақ тўлайди. Бажарилган ишлар учун қабул қилиш-топшириш далолатномаси имзолангандан кейин 30 кун муддатда узил-кесил ҳисоб-китоб қилади.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3.4. Бажарилган ишлар учун пул ўтказиш йўли билан нақд пулсиз тартибда ҳисоб-китоб қилинади.</w:t>
      </w:r>
    </w:p>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sz w:val="24"/>
          <w:szCs w:val="24"/>
          <w:lang w:eastAsia="ru-RU"/>
        </w:rPr>
        <w:t> </w:t>
      </w:r>
    </w:p>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t>IV. ШАРТНОМАНИНГ БАЖАРИЛИШИ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sz w:val="24"/>
          <w:szCs w:val="24"/>
          <w:lang w:eastAsia="ru-RU"/>
        </w:rPr>
        <w:t> </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4.1. Шартнома мазкур шартнома ва қонун ҳужжатлари шартлари ва талабларига мувофиқ зарур тарзда бажарилиши керак.</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Агар томонлар ўз зиммаларига қабул қилинган барча мажбуриятлар бажарилишини таъминласа, шартнома бажарилган деб ҳисобланади.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4.3. Қурилиш-монтаж ишларини қабул қилиш-топшириш далолатномалари тузилган сана шартномалар бўйича мажбуриятлар бажарилган сана ҳисобланади.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 xml:space="preserve">Ҳисоб-китоб ҳужжатида банк муассасаси штампида кўрсатилган сана бажарилган ишга ҳақ тўлаш бўйича </w:t>
      </w:r>
      <w:r w:rsidR="006C2A8C" w:rsidRPr="001A7AE0">
        <w:rPr>
          <w:rFonts w:ascii="Times New Roman" w:eastAsia="Times New Roman" w:hAnsi="Times New Roman" w:cs="Times New Roman"/>
          <w:color w:val="000000"/>
          <w:sz w:val="28"/>
          <w:szCs w:val="28"/>
          <w:lang w:eastAsia="ru-RU"/>
        </w:rPr>
        <w:t>“Буюртмачи”</w:t>
      </w:r>
      <w:r w:rsidRPr="001A7AE0">
        <w:rPr>
          <w:rFonts w:ascii="Times New Roman" w:eastAsia="Times New Roman" w:hAnsi="Times New Roman" w:cs="Times New Roman"/>
          <w:color w:val="000000"/>
          <w:sz w:val="28"/>
          <w:szCs w:val="28"/>
          <w:lang w:eastAsia="ru-RU"/>
        </w:rPr>
        <w:t xml:space="preserve"> мажбуриятлари бажарилган сана ҳисобланади.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 xml:space="preserve">4.4. “Буюртмачи”нинг розилиги билан қурилиш-монтаж ишлари олдин бажарилиши мумкин. бажарилган ва </w:t>
      </w:r>
      <w:r w:rsidR="006C2A8C" w:rsidRPr="001A7AE0">
        <w:rPr>
          <w:rFonts w:ascii="Times New Roman" w:eastAsia="Times New Roman" w:hAnsi="Times New Roman" w:cs="Times New Roman"/>
          <w:color w:val="000000"/>
          <w:sz w:val="28"/>
          <w:szCs w:val="28"/>
          <w:lang w:eastAsia="ru-RU"/>
        </w:rPr>
        <w:t>“Буюртмачи”</w:t>
      </w:r>
      <w:r w:rsidRPr="001A7AE0">
        <w:rPr>
          <w:rFonts w:ascii="Times New Roman" w:eastAsia="Times New Roman" w:hAnsi="Times New Roman" w:cs="Times New Roman"/>
          <w:color w:val="000000"/>
          <w:sz w:val="28"/>
          <w:szCs w:val="28"/>
          <w:lang w:eastAsia="ru-RU"/>
        </w:rPr>
        <w:t xml:space="preserve"> томонидан қабул қилинган ишлар учун кейинги даврларда бажарилиши керак бўлган ишлар ҳисобига ҳақ тўланади ва улар ҳисобига ўтказилади.</w:t>
      </w:r>
    </w:p>
    <w:p w:rsidR="001A7AE0" w:rsidRPr="006C2A8C" w:rsidRDefault="001A7AE0" w:rsidP="001A7AE0">
      <w:pPr>
        <w:spacing w:after="0" w:line="240" w:lineRule="auto"/>
        <w:ind w:firstLine="567"/>
        <w:jc w:val="both"/>
        <w:rPr>
          <w:rFonts w:ascii="Times New Roman" w:eastAsia="Times New Roman" w:hAnsi="Times New Roman" w:cs="Times New Roman"/>
          <w:sz w:val="24"/>
          <w:szCs w:val="24"/>
          <w:lang w:val="uz-Cyrl-UZ" w:eastAsia="ru-RU"/>
        </w:rPr>
      </w:pPr>
      <w:r w:rsidRPr="001A7AE0">
        <w:rPr>
          <w:rFonts w:ascii="Times New Roman" w:eastAsia="Times New Roman" w:hAnsi="Times New Roman" w:cs="Times New Roman"/>
          <w:color w:val="000000"/>
          <w:sz w:val="28"/>
          <w:szCs w:val="28"/>
          <w:lang w:eastAsia="ru-RU"/>
        </w:rPr>
        <w:t xml:space="preserve">4.5. Бажарилган </w:t>
      </w:r>
      <w:r w:rsidR="006C2A8C">
        <w:rPr>
          <w:rFonts w:ascii="Times New Roman" w:eastAsia="Times New Roman" w:hAnsi="Times New Roman" w:cs="Times New Roman"/>
          <w:color w:val="000000"/>
          <w:sz w:val="28"/>
          <w:szCs w:val="28"/>
          <w:lang w:val="uz-Cyrl-UZ" w:eastAsia="ru-RU"/>
        </w:rPr>
        <w:t>қ</w:t>
      </w:r>
      <w:r w:rsidRPr="001A7AE0">
        <w:rPr>
          <w:rFonts w:ascii="Times New Roman" w:eastAsia="Times New Roman" w:hAnsi="Times New Roman" w:cs="Times New Roman"/>
          <w:color w:val="000000"/>
          <w:sz w:val="28"/>
          <w:szCs w:val="28"/>
          <w:lang w:eastAsia="ru-RU"/>
        </w:rPr>
        <w:t xml:space="preserve">урилиш-монтаж ишлари бевосита </w:t>
      </w:r>
      <w:r w:rsidR="006C2A8C" w:rsidRPr="001A7AE0">
        <w:rPr>
          <w:rFonts w:ascii="Times New Roman" w:eastAsia="Times New Roman" w:hAnsi="Times New Roman" w:cs="Times New Roman"/>
          <w:color w:val="000000"/>
          <w:sz w:val="28"/>
          <w:szCs w:val="28"/>
          <w:lang w:eastAsia="ru-RU"/>
        </w:rPr>
        <w:t>“Буюртмачи”</w:t>
      </w:r>
      <w:r w:rsidRPr="001A7AE0">
        <w:rPr>
          <w:rFonts w:ascii="Times New Roman" w:eastAsia="Times New Roman" w:hAnsi="Times New Roman" w:cs="Times New Roman"/>
          <w:color w:val="000000"/>
          <w:sz w:val="28"/>
          <w:szCs w:val="28"/>
          <w:lang w:eastAsia="ru-RU"/>
        </w:rPr>
        <w:t>нинг масъул ходими томонидан далолатнома бўйича қабул қилинади. Далолатнома белгиланган тартибда тузилади</w:t>
      </w:r>
      <w:r w:rsidR="006C2A8C">
        <w:rPr>
          <w:rFonts w:ascii="Times New Roman" w:eastAsia="Times New Roman" w:hAnsi="Times New Roman" w:cs="Times New Roman"/>
          <w:color w:val="000000"/>
          <w:sz w:val="28"/>
          <w:szCs w:val="28"/>
          <w:lang w:val="uz-Cyrl-UZ" w:eastAsia="ru-RU"/>
        </w:rPr>
        <w:t>.</w:t>
      </w:r>
    </w:p>
    <w:p w:rsidR="001A7AE0" w:rsidRPr="001A7AE0" w:rsidRDefault="001A7AE0" w:rsidP="001A7AE0">
      <w:pPr>
        <w:spacing w:after="0" w:line="240" w:lineRule="auto"/>
        <w:ind w:firstLine="567"/>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 </w:t>
      </w:r>
    </w:p>
    <w:p w:rsidR="001A7AE0" w:rsidRPr="001A7AE0" w:rsidRDefault="001A7AE0" w:rsidP="001A7AE0">
      <w:pPr>
        <w:spacing w:after="0" w:line="240" w:lineRule="auto"/>
        <w:ind w:firstLine="567"/>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t>V. ТОМОНЛАРНИНГ ЖАВОБГАРЛИГИ</w:t>
      </w:r>
    </w:p>
    <w:p w:rsidR="001A7AE0" w:rsidRPr="001A7AE0" w:rsidRDefault="001A7AE0" w:rsidP="001A7AE0">
      <w:pPr>
        <w:spacing w:after="0" w:line="240" w:lineRule="auto"/>
        <w:ind w:firstLine="567"/>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 </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5.1. Томонлар ўртасида келишилган жадвал бўйича келган транспортнинг белгиланган муддатлардан ортиқча туриб қолганлиги учун айбдор томон бекор туриб қолганлик билан боғлиқ сарф-харажатларни тўлайди. Бекор туриб қолиш вақти томонлар ўртасида имзоланган далолатномага мувофиқ расмийлаштирилади.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lastRenderedPageBreak/>
        <w:t xml:space="preserve">5.2. Бажариладиган ишлар сифати, миқдори “Пудратчи” томонидан нотўғри аниқланиши, уларнинг қиймати нотўғри белгиланиши ва ундирилиши ҳоллари аниқланган тақдирда “Пудратчи” бажарилган ишларнинг сифатини, шунингдек уларнинг миқдорини ҳисобга олган ҳолда қайта ҳисоб-китоб қилади ва ҳисоблаб чиқилган ушбу суммадан ташқари </w:t>
      </w:r>
      <w:r w:rsidR="006C2A8C" w:rsidRPr="001A7AE0">
        <w:rPr>
          <w:rFonts w:ascii="Times New Roman" w:eastAsia="Times New Roman" w:hAnsi="Times New Roman" w:cs="Times New Roman"/>
          <w:color w:val="000000"/>
          <w:sz w:val="28"/>
          <w:szCs w:val="28"/>
          <w:lang w:eastAsia="ru-RU"/>
        </w:rPr>
        <w:t>“Буюртмачи”</w:t>
      </w:r>
      <w:r w:rsidRPr="001A7AE0">
        <w:rPr>
          <w:rFonts w:ascii="Times New Roman" w:eastAsia="Times New Roman" w:hAnsi="Times New Roman" w:cs="Times New Roman"/>
          <w:color w:val="000000"/>
          <w:sz w:val="28"/>
          <w:szCs w:val="28"/>
          <w:lang w:eastAsia="ru-RU"/>
        </w:rPr>
        <w:t>га нотўғри ҳисоб-китоб қилинган сумманинг 5 фоизи миқдорида жарима тўлайди.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5.3. Агар бажарилган курилиш-монтаж ишларининг сифати, стандарт, техник шартлар талабларига, намуналарга (эталонларга) ёки шартномада белгиланган бошқа шартларга жавоб бермаган тақдирда, айбдор томон бажарилган, сифати зарур даражада бўлмаган ишлар қийматининг 20 фоизи миқдорида жарима тўлайди.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 xml:space="preserve">5.4. Қурилиш-монтаж ишларининг бажарилиши бўйича шартномада назарда тутилган мажбуриятлар бажарилиши рад этилганлиги учун “Пудратчи” </w:t>
      </w:r>
      <w:r w:rsidR="001E42C2">
        <w:rPr>
          <w:rFonts w:ascii="Times New Roman" w:eastAsia="Times New Roman" w:hAnsi="Times New Roman" w:cs="Times New Roman"/>
          <w:color w:val="000000"/>
          <w:sz w:val="28"/>
          <w:szCs w:val="28"/>
          <w:lang w:val="uz-Cyrl-UZ" w:eastAsia="ru-RU"/>
        </w:rPr>
        <w:t>“</w:t>
      </w:r>
      <w:r w:rsidR="001E42C2">
        <w:rPr>
          <w:rFonts w:ascii="Times New Roman" w:eastAsia="Times New Roman" w:hAnsi="Times New Roman" w:cs="Times New Roman"/>
          <w:color w:val="000000"/>
          <w:sz w:val="28"/>
          <w:szCs w:val="28"/>
          <w:lang w:eastAsia="ru-RU"/>
        </w:rPr>
        <w:t>Буюртмачи</w:t>
      </w:r>
      <w:r w:rsidR="001E42C2">
        <w:rPr>
          <w:rFonts w:ascii="Times New Roman" w:eastAsia="Times New Roman" w:hAnsi="Times New Roman" w:cs="Times New Roman"/>
          <w:color w:val="000000"/>
          <w:sz w:val="28"/>
          <w:szCs w:val="28"/>
          <w:lang w:val="uz-Cyrl-UZ" w:eastAsia="ru-RU"/>
        </w:rPr>
        <w:t>”</w:t>
      </w:r>
      <w:r w:rsidRPr="001A7AE0">
        <w:rPr>
          <w:rFonts w:ascii="Times New Roman" w:eastAsia="Times New Roman" w:hAnsi="Times New Roman" w:cs="Times New Roman"/>
          <w:color w:val="000000"/>
          <w:sz w:val="28"/>
          <w:szCs w:val="28"/>
          <w:lang w:eastAsia="ru-RU"/>
        </w:rPr>
        <w:t>га белгиланган устамалардан ташқари бажарилиши керак бўлган хизматнинг 20 фоизи миқдорида жарима тўлайди. Жаримадан ташқари, “Пудратчи”</w:t>
      </w:r>
      <w:r w:rsidR="006C2A8C">
        <w:rPr>
          <w:rFonts w:ascii="Times New Roman" w:eastAsia="Times New Roman" w:hAnsi="Times New Roman" w:cs="Times New Roman"/>
          <w:color w:val="000000"/>
          <w:sz w:val="28"/>
          <w:szCs w:val="28"/>
          <w:lang w:val="uz-Cyrl-UZ" w:eastAsia="ru-RU"/>
        </w:rPr>
        <w:t xml:space="preserve"> </w:t>
      </w:r>
      <w:r w:rsidRPr="001A7AE0">
        <w:rPr>
          <w:rFonts w:ascii="Times New Roman" w:eastAsia="Times New Roman" w:hAnsi="Times New Roman" w:cs="Times New Roman"/>
          <w:color w:val="000000"/>
          <w:sz w:val="28"/>
          <w:szCs w:val="28"/>
          <w:lang w:eastAsia="ru-RU"/>
        </w:rPr>
        <w:t>“Буюртмачи”га курилиш-монтаж ишларининг бажарилмаслиги натижасида етказилган зарарни тўлайди.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5.5. Қурилиш-монтаж ишларининг бажарилиши кечиктирилган ёки тўлиқ бажарилмаган тақдирда “Пудратчи”</w:t>
      </w:r>
      <w:r w:rsidR="006C2A8C">
        <w:rPr>
          <w:rFonts w:ascii="Times New Roman" w:eastAsia="Times New Roman" w:hAnsi="Times New Roman" w:cs="Times New Roman"/>
          <w:color w:val="000000"/>
          <w:sz w:val="28"/>
          <w:szCs w:val="28"/>
          <w:lang w:val="uz-Cyrl-UZ" w:eastAsia="ru-RU"/>
        </w:rPr>
        <w:t xml:space="preserve"> </w:t>
      </w:r>
      <w:r w:rsidRPr="001A7AE0">
        <w:rPr>
          <w:rFonts w:ascii="Times New Roman" w:eastAsia="Times New Roman" w:hAnsi="Times New Roman" w:cs="Times New Roman"/>
          <w:color w:val="000000"/>
          <w:sz w:val="28"/>
          <w:szCs w:val="28"/>
          <w:lang w:eastAsia="ru-RU"/>
        </w:rPr>
        <w:t>“Буюртмачи”га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курилиш-монтаж ишларининг бажарилиш муддати кечиктирилиши ёки тўлиқ бажармаслиги туфайли етказилган зарарлар қопланишидан озод этмайди.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5.6. Бажарилган курилиш-монтаж ишлари учун ўз вақтида ҳақ тўланмаганда “Буюртмачи”</w:t>
      </w:r>
      <w:r w:rsidR="006C2A8C">
        <w:rPr>
          <w:rFonts w:ascii="Times New Roman" w:eastAsia="Times New Roman" w:hAnsi="Times New Roman" w:cs="Times New Roman"/>
          <w:color w:val="000000"/>
          <w:sz w:val="28"/>
          <w:szCs w:val="28"/>
          <w:lang w:val="uz-Cyrl-UZ" w:eastAsia="ru-RU"/>
        </w:rPr>
        <w:t xml:space="preserve"> </w:t>
      </w:r>
      <w:r w:rsidRPr="001A7AE0">
        <w:rPr>
          <w:rFonts w:ascii="Times New Roman" w:eastAsia="Times New Roman" w:hAnsi="Times New Roman" w:cs="Times New Roman"/>
          <w:color w:val="000000"/>
          <w:sz w:val="28"/>
          <w:szCs w:val="28"/>
          <w:lang w:eastAsia="ru-RU"/>
        </w:rPr>
        <w:t>“Пудратчи”га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5.7. “Буюртмачи” ва “Пудратчи” томонидан шартнома бажарилмаганлиги ёки зарур даражада бажарилмаганлиги учун “Буюртмачи”ни ва жавобгарликка тортишда шунингдек унинг хатти-ҳаракатлари (ҳаракатсизлиги) томонидан шартнома бўйича шартнома мажбуриятлари бажарилмаслигига (зарур тарзда бажарилмаслигига) олиб келган “Пудратчи”нинг жавобгарлиги ҳам кўриб чиқилади.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5.8. Мазкур шартномада назарда тутилмаган томонларнинг жавобгарлиги чора-тадбирлари фуқаролик қонунчилиги нормаларига мувофиқ қўлланилади.</w:t>
      </w:r>
    </w:p>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t> </w:t>
      </w:r>
    </w:p>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t>VI. НИЗОЛАРНИ ҲАЛ ЭТИШ ТАРТИБИ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sz w:val="24"/>
          <w:szCs w:val="24"/>
          <w:lang w:eastAsia="ru-RU"/>
        </w:rPr>
        <w:t> </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lastRenderedPageBreak/>
        <w:t>6.2. Томонлар келишмовчиликлар ва низоларни ҳал этиш учун бевосита судга мурожаат қилишга ҳақлидир.</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sz w:val="24"/>
          <w:szCs w:val="24"/>
          <w:lang w:eastAsia="ru-RU"/>
        </w:rPr>
        <w:t> </w:t>
      </w:r>
    </w:p>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t>VII. ШАРТНОМАНИНГ АМАЛ ҚИЛИШИ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7.1. Мазкур шартнома ҳар икки томон тасдиқлаб, Ғазначилик бўлими томонидан рўйхатга олингандан сўнг кучга киради ва томонлар ушбу шартнома бўйича ўз мажбуриятларини бажаргунга қадар амал қилади. Томонларни мажбуриятларини сўнги бажариш муддати 202</w:t>
      </w:r>
      <w:r w:rsidR="006D4967" w:rsidRPr="006D4967">
        <w:rPr>
          <w:rFonts w:ascii="Times New Roman" w:eastAsia="Times New Roman" w:hAnsi="Times New Roman" w:cs="Times New Roman"/>
          <w:color w:val="000000"/>
          <w:sz w:val="28"/>
          <w:szCs w:val="28"/>
          <w:lang w:eastAsia="ru-RU"/>
        </w:rPr>
        <w:t>2</w:t>
      </w:r>
      <w:r w:rsidRPr="001A7AE0">
        <w:rPr>
          <w:rFonts w:ascii="Times New Roman" w:eastAsia="Times New Roman" w:hAnsi="Times New Roman" w:cs="Times New Roman"/>
          <w:color w:val="000000"/>
          <w:sz w:val="28"/>
          <w:szCs w:val="28"/>
          <w:lang w:eastAsia="ru-RU"/>
        </w:rPr>
        <w:t xml:space="preserve"> йил 31 декабрга қадар этиб белгиланади.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 </w:t>
      </w:r>
    </w:p>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t>VIII. ЯКУНИЙ ҚОИДАЛАР</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1A7AE0" w:rsidRPr="001A7AE0" w:rsidRDefault="001A7AE0" w:rsidP="001A7AE0">
      <w:pPr>
        <w:spacing w:after="0" w:line="240" w:lineRule="auto"/>
        <w:ind w:firstLine="567"/>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8"/>
          <w:szCs w:val="28"/>
          <w:lang w:eastAsia="ru-RU"/>
        </w:rPr>
        <w:t>8.3. Мазкур шартнома икки нусхада тузилди. Шартноманинг барча нусхалари тенг юридик кучга эгадир.</w:t>
      </w:r>
    </w:p>
    <w:p w:rsidR="001A7AE0" w:rsidRPr="001A7AE0" w:rsidRDefault="001A7AE0" w:rsidP="001A7AE0">
      <w:pPr>
        <w:spacing w:after="0" w:line="240" w:lineRule="auto"/>
        <w:ind w:firstLine="567"/>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t> </w:t>
      </w:r>
    </w:p>
    <w:p w:rsidR="001A7AE0" w:rsidRPr="001A7AE0" w:rsidRDefault="001A7AE0" w:rsidP="001A7AE0">
      <w:pPr>
        <w:spacing w:after="0" w:line="240" w:lineRule="auto"/>
        <w:ind w:firstLine="567"/>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t>IX. Томонларнинг манзили ва банк реквизитлари:</w:t>
      </w:r>
    </w:p>
    <w:p w:rsidR="001A7AE0" w:rsidRPr="001A7AE0" w:rsidRDefault="001A7AE0" w:rsidP="001A7AE0">
      <w:pPr>
        <w:spacing w:after="0" w:line="240" w:lineRule="auto"/>
        <w:ind w:firstLine="567"/>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8"/>
          <w:szCs w:val="28"/>
          <w:lang w:eastAsia="ru-RU"/>
        </w:rPr>
        <w:t> </w:t>
      </w:r>
    </w:p>
    <w:tbl>
      <w:tblPr>
        <w:tblW w:w="0" w:type="auto"/>
        <w:tblCellSpacing w:w="0" w:type="dxa"/>
        <w:tblLook w:val="04A0" w:firstRow="1" w:lastRow="0" w:firstColumn="1" w:lastColumn="0" w:noHBand="0" w:noVBand="1"/>
      </w:tblPr>
      <w:tblGrid>
        <w:gridCol w:w="4514"/>
        <w:gridCol w:w="281"/>
        <w:gridCol w:w="4560"/>
      </w:tblGrid>
      <w:tr w:rsidR="001A7AE0" w:rsidRPr="001A7AE0" w:rsidTr="001A7AE0">
        <w:trPr>
          <w:tblCellSpacing w:w="0" w:type="dxa"/>
        </w:trPr>
        <w:tc>
          <w:tcPr>
            <w:tcW w:w="4506" w:type="dxa"/>
            <w:tcBorders>
              <w:top w:val="nil"/>
              <w:left w:val="nil"/>
              <w:bottom w:val="nil"/>
              <w:right w:val="nil"/>
            </w:tcBorders>
            <w:vAlign w:val="center"/>
            <w:hideMark/>
          </w:tcPr>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“Пудратчи”</w:t>
            </w:r>
          </w:p>
        </w:tc>
        <w:tc>
          <w:tcPr>
            <w:tcW w:w="281" w:type="dxa"/>
            <w:tcBorders>
              <w:top w:val="nil"/>
              <w:left w:val="nil"/>
              <w:bottom w:val="nil"/>
              <w:right w:val="nil"/>
            </w:tcBorders>
            <w:vAlign w:val="center"/>
            <w:hideMark/>
          </w:tcPr>
          <w:p w:rsidR="001A7AE0" w:rsidRPr="001A7AE0" w:rsidRDefault="001A7AE0" w:rsidP="001A7AE0">
            <w:pPr>
              <w:spacing w:after="0" w:line="240" w:lineRule="auto"/>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w:t>
            </w:r>
          </w:p>
        </w:tc>
        <w:tc>
          <w:tcPr>
            <w:tcW w:w="4562" w:type="dxa"/>
            <w:tcBorders>
              <w:top w:val="nil"/>
              <w:left w:val="nil"/>
              <w:bottom w:val="nil"/>
              <w:right w:val="nil"/>
            </w:tcBorders>
            <w:vAlign w:val="center"/>
            <w:hideMark/>
          </w:tcPr>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“Буюртмачи”</w:t>
            </w:r>
          </w:p>
        </w:tc>
      </w:tr>
      <w:tr w:rsidR="001A7AE0" w:rsidRPr="001A7AE0" w:rsidTr="001A7AE0">
        <w:trPr>
          <w:tblCellSpacing w:w="0" w:type="dxa"/>
        </w:trPr>
        <w:tc>
          <w:tcPr>
            <w:tcW w:w="4506" w:type="dxa"/>
            <w:tcBorders>
              <w:top w:val="nil"/>
              <w:left w:val="nil"/>
              <w:bottom w:val="single" w:sz="8" w:space="0" w:color="000000"/>
              <w:right w:val="nil"/>
            </w:tcBorders>
            <w:vAlign w:val="center"/>
            <w:hideMark/>
          </w:tcPr>
          <w:p w:rsidR="001A7AE0" w:rsidRPr="001A7AE0" w:rsidRDefault="001A7AE0" w:rsidP="006D4967">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6"/>
                <w:szCs w:val="26"/>
                <w:lang w:eastAsia="ru-RU"/>
              </w:rPr>
              <w:t>          </w:t>
            </w:r>
          </w:p>
        </w:tc>
        <w:tc>
          <w:tcPr>
            <w:tcW w:w="281" w:type="dxa"/>
            <w:tcBorders>
              <w:top w:val="nil"/>
              <w:left w:val="nil"/>
              <w:bottom w:val="nil"/>
              <w:right w:val="nil"/>
            </w:tcBorders>
            <w:vAlign w:val="center"/>
            <w:hideMark/>
          </w:tcPr>
          <w:p w:rsidR="001A7AE0" w:rsidRPr="001A7AE0" w:rsidRDefault="001A7AE0" w:rsidP="001A7AE0">
            <w:pPr>
              <w:spacing w:after="0" w:line="240" w:lineRule="auto"/>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w:t>
            </w:r>
          </w:p>
        </w:tc>
        <w:tc>
          <w:tcPr>
            <w:tcW w:w="4562" w:type="dxa"/>
            <w:tcBorders>
              <w:top w:val="nil"/>
              <w:left w:val="nil"/>
              <w:bottom w:val="single" w:sz="8" w:space="0" w:color="000000"/>
              <w:right w:val="nil"/>
            </w:tcBorders>
            <w:vAlign w:val="center"/>
            <w:hideMark/>
          </w:tcPr>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b/>
                <w:bCs/>
                <w:color w:val="000000"/>
                <w:sz w:val="26"/>
                <w:szCs w:val="26"/>
                <w:lang w:eastAsia="ru-RU"/>
              </w:rPr>
              <w:t>Чуст туман Халк таьлими булими</w:t>
            </w:r>
          </w:p>
        </w:tc>
      </w:tr>
      <w:tr w:rsidR="001A7AE0" w:rsidRPr="001A7AE0" w:rsidTr="001A7AE0">
        <w:trPr>
          <w:tblCellSpacing w:w="0" w:type="dxa"/>
        </w:trPr>
        <w:tc>
          <w:tcPr>
            <w:tcW w:w="4506" w:type="dxa"/>
            <w:tcBorders>
              <w:top w:val="nil"/>
              <w:left w:val="nil"/>
              <w:bottom w:val="nil"/>
              <w:right w:val="nil"/>
            </w:tcBorders>
            <w:vAlign w:val="center"/>
            <w:hideMark/>
          </w:tcPr>
          <w:p w:rsidR="001A7AE0" w:rsidRPr="001A7AE0" w:rsidRDefault="001A7AE0" w:rsidP="001A7AE0">
            <w:pPr>
              <w:spacing w:after="0" w:line="240" w:lineRule="auto"/>
              <w:jc w:val="center"/>
              <w:rPr>
                <w:rFonts w:ascii="Times New Roman" w:eastAsia="Times New Roman" w:hAnsi="Times New Roman" w:cs="Times New Roman"/>
                <w:sz w:val="24"/>
                <w:szCs w:val="24"/>
                <w:lang w:eastAsia="ru-RU"/>
              </w:rPr>
            </w:pPr>
            <w:r w:rsidRPr="001A7AE0">
              <w:rPr>
                <w:rFonts w:ascii="Times New Roman" w:eastAsia="Times New Roman" w:hAnsi="Times New Roman" w:cs="Times New Roman"/>
                <w:sz w:val="24"/>
                <w:szCs w:val="24"/>
                <w:lang w:eastAsia="ru-RU"/>
              </w:rPr>
              <w:t> </w:t>
            </w:r>
          </w:p>
        </w:tc>
        <w:tc>
          <w:tcPr>
            <w:tcW w:w="281" w:type="dxa"/>
            <w:tcBorders>
              <w:top w:val="nil"/>
              <w:left w:val="nil"/>
              <w:bottom w:val="nil"/>
              <w:right w:val="nil"/>
            </w:tcBorders>
            <w:vAlign w:val="center"/>
            <w:hideMark/>
          </w:tcPr>
          <w:p w:rsidR="001A7AE0" w:rsidRPr="001A7AE0" w:rsidRDefault="001A7AE0" w:rsidP="001A7AE0">
            <w:pPr>
              <w:spacing w:after="0" w:line="240" w:lineRule="auto"/>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w:t>
            </w:r>
          </w:p>
        </w:tc>
        <w:tc>
          <w:tcPr>
            <w:tcW w:w="4562" w:type="dxa"/>
            <w:tcBorders>
              <w:top w:val="nil"/>
              <w:left w:val="nil"/>
              <w:bottom w:val="nil"/>
              <w:right w:val="nil"/>
            </w:tcBorders>
            <w:vAlign w:val="center"/>
            <w:hideMark/>
          </w:tcPr>
          <w:p w:rsidR="001A7AE0" w:rsidRPr="001A7AE0" w:rsidRDefault="001A7AE0" w:rsidP="001A7AE0">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Манзил:Чуст шаҳри, Чароғон кўчаси, 56-уй</w:t>
            </w:r>
          </w:p>
        </w:tc>
      </w:tr>
      <w:tr w:rsidR="001A7AE0" w:rsidRPr="001A7AE0" w:rsidTr="001A7AE0">
        <w:trPr>
          <w:tblCellSpacing w:w="0" w:type="dxa"/>
        </w:trPr>
        <w:tc>
          <w:tcPr>
            <w:tcW w:w="4506" w:type="dxa"/>
            <w:tcBorders>
              <w:top w:val="nil"/>
              <w:left w:val="nil"/>
              <w:bottom w:val="nil"/>
              <w:right w:val="nil"/>
            </w:tcBorders>
            <w:vAlign w:val="center"/>
            <w:hideMark/>
          </w:tcPr>
          <w:p w:rsidR="001A7AE0" w:rsidRPr="001A7AE0" w:rsidRDefault="001A7AE0" w:rsidP="006D4967">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xml:space="preserve">Манзил: </w:t>
            </w:r>
            <w:r w:rsidR="006D4967">
              <w:rPr>
                <w:rFonts w:ascii="Times New Roman" w:eastAsia="Times New Roman" w:hAnsi="Times New Roman" w:cs="Times New Roman"/>
                <w:color w:val="000000"/>
                <w:sz w:val="26"/>
                <w:szCs w:val="26"/>
                <w:lang w:val="en-US" w:eastAsia="ru-RU"/>
              </w:rPr>
              <w:t>_________________________</w:t>
            </w:r>
            <w:r w:rsidRPr="001A7AE0">
              <w:rPr>
                <w:rFonts w:ascii="Times New Roman" w:eastAsia="Times New Roman" w:hAnsi="Times New Roman" w:cs="Times New Roman"/>
                <w:color w:val="000000"/>
                <w:sz w:val="26"/>
                <w:szCs w:val="26"/>
                <w:lang w:eastAsia="ru-RU"/>
              </w:rPr>
              <w:t xml:space="preserve"> </w:t>
            </w:r>
          </w:p>
        </w:tc>
        <w:tc>
          <w:tcPr>
            <w:tcW w:w="281" w:type="dxa"/>
            <w:tcBorders>
              <w:top w:val="nil"/>
              <w:left w:val="nil"/>
              <w:bottom w:val="nil"/>
              <w:right w:val="nil"/>
            </w:tcBorders>
            <w:vAlign w:val="center"/>
            <w:hideMark/>
          </w:tcPr>
          <w:p w:rsidR="001A7AE0" w:rsidRPr="001A7AE0" w:rsidRDefault="001A7AE0" w:rsidP="001A7AE0">
            <w:pPr>
              <w:spacing w:after="0" w:line="240" w:lineRule="auto"/>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w:t>
            </w:r>
          </w:p>
        </w:tc>
        <w:tc>
          <w:tcPr>
            <w:tcW w:w="4562" w:type="dxa"/>
            <w:tcBorders>
              <w:top w:val="nil"/>
              <w:left w:val="nil"/>
              <w:bottom w:val="nil"/>
              <w:right w:val="nil"/>
            </w:tcBorders>
            <w:vAlign w:val="center"/>
            <w:hideMark/>
          </w:tcPr>
          <w:p w:rsidR="001A7AE0" w:rsidRPr="006D4967" w:rsidRDefault="001A7AE0" w:rsidP="006D4967">
            <w:pPr>
              <w:spacing w:after="0" w:line="240" w:lineRule="auto"/>
              <w:rPr>
                <w:rFonts w:ascii="Times New Roman" w:eastAsia="Times New Roman" w:hAnsi="Times New Roman" w:cs="Times New Roman"/>
                <w:sz w:val="24"/>
                <w:szCs w:val="24"/>
                <w:lang w:val="en-US" w:eastAsia="ru-RU"/>
              </w:rPr>
            </w:pPr>
            <w:r w:rsidRPr="001A7AE0">
              <w:rPr>
                <w:rFonts w:ascii="Times New Roman" w:eastAsia="Times New Roman" w:hAnsi="Times New Roman" w:cs="Times New Roman"/>
                <w:color w:val="000000"/>
                <w:sz w:val="26"/>
                <w:szCs w:val="26"/>
                <w:lang w:eastAsia="ru-RU"/>
              </w:rPr>
              <w:t>Ш</w:t>
            </w:r>
            <w:r w:rsidR="008A1FDD">
              <w:rPr>
                <w:rFonts w:ascii="Times New Roman" w:eastAsia="Times New Roman" w:hAnsi="Times New Roman" w:cs="Times New Roman"/>
                <w:color w:val="000000"/>
                <w:sz w:val="26"/>
                <w:szCs w:val="26"/>
                <w:lang w:eastAsia="ru-RU"/>
              </w:rPr>
              <w:t>.х.в  </w:t>
            </w:r>
            <w:r w:rsidR="006D4967">
              <w:rPr>
                <w:rFonts w:ascii="Times New Roman" w:eastAsia="Times New Roman" w:hAnsi="Times New Roman" w:cs="Times New Roman"/>
                <w:color w:val="000000"/>
                <w:sz w:val="26"/>
                <w:szCs w:val="26"/>
                <w:lang w:val="en-US" w:eastAsia="ru-RU"/>
              </w:rPr>
              <w:t>100</w:t>
            </w:r>
            <w:r w:rsidR="008A1FDD">
              <w:rPr>
                <w:rFonts w:ascii="Times New Roman" w:eastAsia="Times New Roman" w:hAnsi="Times New Roman" w:cs="Times New Roman"/>
                <w:color w:val="000000"/>
                <w:sz w:val="26"/>
                <w:szCs w:val="26"/>
                <w:lang w:eastAsia="ru-RU"/>
              </w:rPr>
              <w:t>0</w:t>
            </w:r>
            <w:r w:rsidR="006D4967">
              <w:rPr>
                <w:rFonts w:ascii="Times New Roman" w:eastAsia="Times New Roman" w:hAnsi="Times New Roman" w:cs="Times New Roman"/>
                <w:color w:val="000000"/>
                <w:sz w:val="26"/>
                <w:szCs w:val="26"/>
                <w:lang w:val="en-US" w:eastAsia="ru-RU"/>
              </w:rPr>
              <w:t>22860142377092100075110</w:t>
            </w:r>
          </w:p>
        </w:tc>
      </w:tr>
      <w:tr w:rsidR="001A7AE0" w:rsidRPr="001A7AE0" w:rsidTr="001A7AE0">
        <w:trPr>
          <w:trHeight w:val="316"/>
          <w:tblCellSpacing w:w="0" w:type="dxa"/>
        </w:trPr>
        <w:tc>
          <w:tcPr>
            <w:tcW w:w="4506" w:type="dxa"/>
            <w:tcBorders>
              <w:top w:val="nil"/>
              <w:left w:val="nil"/>
              <w:bottom w:val="nil"/>
              <w:right w:val="nil"/>
            </w:tcBorders>
            <w:vAlign w:val="center"/>
            <w:hideMark/>
          </w:tcPr>
          <w:p w:rsidR="001A7AE0" w:rsidRPr="001A7AE0" w:rsidRDefault="001A7AE0" w:rsidP="001A7AE0">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Тел./факс _________________________________</w:t>
            </w:r>
          </w:p>
        </w:tc>
        <w:tc>
          <w:tcPr>
            <w:tcW w:w="281" w:type="dxa"/>
            <w:tcBorders>
              <w:top w:val="nil"/>
              <w:left w:val="nil"/>
              <w:bottom w:val="nil"/>
              <w:right w:val="nil"/>
            </w:tcBorders>
            <w:vAlign w:val="center"/>
            <w:hideMark/>
          </w:tcPr>
          <w:p w:rsidR="001A7AE0" w:rsidRPr="001A7AE0" w:rsidRDefault="001A7AE0" w:rsidP="001A7AE0">
            <w:pPr>
              <w:spacing w:after="0" w:line="240" w:lineRule="auto"/>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w:t>
            </w:r>
          </w:p>
        </w:tc>
        <w:tc>
          <w:tcPr>
            <w:tcW w:w="4562" w:type="dxa"/>
            <w:tcBorders>
              <w:top w:val="nil"/>
              <w:left w:val="nil"/>
              <w:bottom w:val="nil"/>
              <w:right w:val="nil"/>
            </w:tcBorders>
            <w:vAlign w:val="center"/>
            <w:hideMark/>
          </w:tcPr>
          <w:p w:rsidR="001A7AE0" w:rsidRPr="001A7AE0" w:rsidRDefault="001A7AE0" w:rsidP="001A7AE0">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Банк номи: Марказий банк Тошкент шаҳри Б.Б КХКМ</w:t>
            </w:r>
          </w:p>
        </w:tc>
      </w:tr>
      <w:tr w:rsidR="001A7AE0" w:rsidRPr="001A7AE0" w:rsidTr="001A7AE0">
        <w:trPr>
          <w:tblCellSpacing w:w="0" w:type="dxa"/>
        </w:trPr>
        <w:tc>
          <w:tcPr>
            <w:tcW w:w="4506" w:type="dxa"/>
            <w:tcBorders>
              <w:top w:val="nil"/>
              <w:left w:val="nil"/>
              <w:bottom w:val="nil"/>
              <w:right w:val="nil"/>
            </w:tcBorders>
            <w:vAlign w:val="center"/>
            <w:hideMark/>
          </w:tcPr>
          <w:p w:rsidR="001A7AE0" w:rsidRPr="006D4967" w:rsidRDefault="001A7AE0" w:rsidP="006D4967">
            <w:pPr>
              <w:spacing w:after="0" w:line="240" w:lineRule="auto"/>
              <w:rPr>
                <w:rFonts w:ascii="Times New Roman" w:eastAsia="Times New Roman" w:hAnsi="Times New Roman" w:cs="Times New Roman"/>
                <w:sz w:val="24"/>
                <w:szCs w:val="24"/>
                <w:lang w:val="en-US" w:eastAsia="ru-RU"/>
              </w:rPr>
            </w:pPr>
            <w:r w:rsidRPr="001A7AE0">
              <w:rPr>
                <w:rFonts w:ascii="Times New Roman" w:eastAsia="Times New Roman" w:hAnsi="Times New Roman" w:cs="Times New Roman"/>
                <w:color w:val="000000"/>
                <w:sz w:val="26"/>
                <w:szCs w:val="26"/>
                <w:lang w:eastAsia="ru-RU"/>
              </w:rPr>
              <w:t>Ҳ/р:</w:t>
            </w:r>
            <w:r w:rsidRPr="001A7AE0">
              <w:rPr>
                <w:rFonts w:ascii="Times New Roman" w:eastAsia="Times New Roman" w:hAnsi="Times New Roman" w:cs="Times New Roman"/>
                <w:b/>
                <w:bCs/>
                <w:color w:val="000000"/>
                <w:sz w:val="26"/>
                <w:szCs w:val="26"/>
                <w:lang w:eastAsia="ru-RU"/>
              </w:rPr>
              <w:t> </w:t>
            </w:r>
            <w:r w:rsidR="006D4967">
              <w:rPr>
                <w:rFonts w:ascii="Times New Roman" w:eastAsia="Times New Roman" w:hAnsi="Times New Roman" w:cs="Times New Roman"/>
                <w:b/>
                <w:bCs/>
                <w:color w:val="000000"/>
                <w:sz w:val="26"/>
                <w:szCs w:val="26"/>
                <w:lang w:val="en-US" w:eastAsia="ru-RU"/>
              </w:rPr>
              <w:t>_____________________________</w:t>
            </w:r>
          </w:p>
        </w:tc>
        <w:tc>
          <w:tcPr>
            <w:tcW w:w="281" w:type="dxa"/>
            <w:tcBorders>
              <w:top w:val="nil"/>
              <w:left w:val="nil"/>
              <w:bottom w:val="nil"/>
              <w:right w:val="nil"/>
            </w:tcBorders>
            <w:vAlign w:val="center"/>
            <w:hideMark/>
          </w:tcPr>
          <w:p w:rsidR="001A7AE0" w:rsidRPr="001A7AE0" w:rsidRDefault="001A7AE0" w:rsidP="001A7AE0">
            <w:pPr>
              <w:spacing w:after="0" w:line="240" w:lineRule="auto"/>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w:t>
            </w:r>
          </w:p>
        </w:tc>
        <w:tc>
          <w:tcPr>
            <w:tcW w:w="4562" w:type="dxa"/>
            <w:tcBorders>
              <w:top w:val="nil"/>
              <w:left w:val="nil"/>
              <w:bottom w:val="nil"/>
              <w:right w:val="nil"/>
            </w:tcBorders>
            <w:vAlign w:val="center"/>
            <w:hideMark/>
          </w:tcPr>
          <w:p w:rsidR="001A7AE0" w:rsidRPr="001A7AE0" w:rsidRDefault="001A7AE0" w:rsidP="001A7AE0">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МФО 00014,        ОКНХ ________________</w:t>
            </w:r>
          </w:p>
        </w:tc>
      </w:tr>
      <w:tr w:rsidR="001A7AE0" w:rsidRPr="001A7AE0" w:rsidTr="001A7AE0">
        <w:trPr>
          <w:tblCellSpacing w:w="0" w:type="dxa"/>
        </w:trPr>
        <w:tc>
          <w:tcPr>
            <w:tcW w:w="4506" w:type="dxa"/>
            <w:tcBorders>
              <w:top w:val="nil"/>
              <w:left w:val="nil"/>
              <w:bottom w:val="nil"/>
              <w:right w:val="nil"/>
            </w:tcBorders>
            <w:vAlign w:val="center"/>
            <w:hideMark/>
          </w:tcPr>
          <w:p w:rsidR="001A7AE0" w:rsidRPr="006D4967" w:rsidRDefault="001A7AE0" w:rsidP="006D4967">
            <w:pPr>
              <w:spacing w:after="0" w:line="240" w:lineRule="auto"/>
              <w:rPr>
                <w:rFonts w:ascii="Times New Roman" w:eastAsia="Times New Roman" w:hAnsi="Times New Roman" w:cs="Times New Roman"/>
                <w:sz w:val="24"/>
                <w:szCs w:val="24"/>
                <w:lang w:val="en-US" w:eastAsia="ru-RU"/>
              </w:rPr>
            </w:pPr>
            <w:r w:rsidRPr="001A7AE0">
              <w:rPr>
                <w:rFonts w:ascii="Times New Roman" w:eastAsia="Times New Roman" w:hAnsi="Times New Roman" w:cs="Times New Roman"/>
                <w:color w:val="000000"/>
                <w:sz w:val="26"/>
                <w:szCs w:val="26"/>
                <w:lang w:eastAsia="ru-RU"/>
              </w:rPr>
              <w:t xml:space="preserve">Банк номи: </w:t>
            </w:r>
            <w:r w:rsidR="006D4967">
              <w:rPr>
                <w:rFonts w:ascii="Times New Roman" w:eastAsia="Times New Roman" w:hAnsi="Times New Roman" w:cs="Times New Roman"/>
                <w:color w:val="000000"/>
                <w:sz w:val="26"/>
                <w:szCs w:val="26"/>
                <w:lang w:val="en-US" w:eastAsia="ru-RU"/>
              </w:rPr>
              <w:t>_______________________</w:t>
            </w:r>
          </w:p>
        </w:tc>
        <w:tc>
          <w:tcPr>
            <w:tcW w:w="281" w:type="dxa"/>
            <w:tcBorders>
              <w:top w:val="nil"/>
              <w:left w:val="nil"/>
              <w:bottom w:val="nil"/>
              <w:right w:val="nil"/>
            </w:tcBorders>
            <w:vAlign w:val="center"/>
            <w:hideMark/>
          </w:tcPr>
          <w:p w:rsidR="001A7AE0" w:rsidRPr="001A7AE0" w:rsidRDefault="001A7AE0" w:rsidP="001A7AE0">
            <w:pPr>
              <w:spacing w:after="0" w:line="240" w:lineRule="auto"/>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w:t>
            </w:r>
          </w:p>
        </w:tc>
        <w:tc>
          <w:tcPr>
            <w:tcW w:w="4562" w:type="dxa"/>
            <w:tcBorders>
              <w:top w:val="nil"/>
              <w:left w:val="nil"/>
              <w:bottom w:val="nil"/>
              <w:right w:val="nil"/>
            </w:tcBorders>
            <w:vAlign w:val="center"/>
            <w:hideMark/>
          </w:tcPr>
          <w:p w:rsidR="001A7AE0" w:rsidRPr="001A7AE0" w:rsidRDefault="001A7AE0" w:rsidP="001A7AE0">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СТИР: 200111014</w:t>
            </w:r>
          </w:p>
        </w:tc>
      </w:tr>
      <w:tr w:rsidR="001A7AE0" w:rsidRPr="001A7AE0" w:rsidTr="001A7AE0">
        <w:trPr>
          <w:tblCellSpacing w:w="0" w:type="dxa"/>
        </w:trPr>
        <w:tc>
          <w:tcPr>
            <w:tcW w:w="4506" w:type="dxa"/>
            <w:tcBorders>
              <w:top w:val="nil"/>
              <w:left w:val="nil"/>
              <w:bottom w:val="nil"/>
              <w:right w:val="nil"/>
            </w:tcBorders>
            <w:vAlign w:val="center"/>
            <w:hideMark/>
          </w:tcPr>
          <w:p w:rsidR="001A7AE0" w:rsidRPr="001A7AE0" w:rsidRDefault="001A7AE0" w:rsidP="001A7AE0">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w:t>
            </w:r>
          </w:p>
        </w:tc>
        <w:tc>
          <w:tcPr>
            <w:tcW w:w="281" w:type="dxa"/>
            <w:tcBorders>
              <w:top w:val="nil"/>
              <w:left w:val="nil"/>
              <w:bottom w:val="nil"/>
              <w:right w:val="nil"/>
            </w:tcBorders>
            <w:vAlign w:val="center"/>
            <w:hideMark/>
          </w:tcPr>
          <w:p w:rsidR="001A7AE0" w:rsidRPr="001A7AE0" w:rsidRDefault="001A7AE0" w:rsidP="001A7AE0">
            <w:pPr>
              <w:spacing w:after="0" w:line="240" w:lineRule="auto"/>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w:t>
            </w:r>
          </w:p>
        </w:tc>
        <w:tc>
          <w:tcPr>
            <w:tcW w:w="4562" w:type="dxa"/>
            <w:tcBorders>
              <w:top w:val="nil"/>
              <w:left w:val="nil"/>
              <w:bottom w:val="nil"/>
              <w:right w:val="nil"/>
            </w:tcBorders>
            <w:vAlign w:val="center"/>
            <w:hideMark/>
          </w:tcPr>
          <w:p w:rsidR="001A7AE0" w:rsidRPr="001A7AE0" w:rsidRDefault="001A7AE0" w:rsidP="001A7AE0">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Молия вазирлиги ғазначилиги</w:t>
            </w:r>
          </w:p>
          <w:p w:rsidR="001A7AE0" w:rsidRPr="001A7AE0" w:rsidRDefault="001A7AE0" w:rsidP="001A7AE0">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ҳ/р 23402000300100001010</w:t>
            </w:r>
          </w:p>
        </w:tc>
      </w:tr>
      <w:tr w:rsidR="001A7AE0" w:rsidRPr="001A7AE0" w:rsidTr="001A7AE0">
        <w:trPr>
          <w:tblCellSpacing w:w="0" w:type="dxa"/>
        </w:trPr>
        <w:tc>
          <w:tcPr>
            <w:tcW w:w="4506" w:type="dxa"/>
            <w:tcBorders>
              <w:top w:val="nil"/>
              <w:left w:val="nil"/>
              <w:bottom w:val="nil"/>
              <w:right w:val="nil"/>
            </w:tcBorders>
            <w:vAlign w:val="center"/>
            <w:hideMark/>
          </w:tcPr>
          <w:p w:rsidR="001A7AE0" w:rsidRPr="006D4967" w:rsidRDefault="001A7AE0" w:rsidP="006D4967">
            <w:pPr>
              <w:spacing w:after="0" w:line="240" w:lineRule="auto"/>
              <w:rPr>
                <w:rFonts w:ascii="Times New Roman" w:eastAsia="Times New Roman" w:hAnsi="Times New Roman" w:cs="Times New Roman"/>
                <w:sz w:val="24"/>
                <w:szCs w:val="24"/>
                <w:lang w:val="en-US" w:eastAsia="ru-RU"/>
              </w:rPr>
            </w:pPr>
            <w:r w:rsidRPr="001A7AE0">
              <w:rPr>
                <w:rFonts w:ascii="Times New Roman" w:eastAsia="Times New Roman" w:hAnsi="Times New Roman" w:cs="Times New Roman"/>
                <w:color w:val="000000"/>
                <w:sz w:val="26"/>
                <w:szCs w:val="26"/>
                <w:lang w:eastAsia="ru-RU"/>
              </w:rPr>
              <w:t xml:space="preserve">МФО:     </w:t>
            </w:r>
            <w:r w:rsidR="006D4967">
              <w:rPr>
                <w:rFonts w:ascii="Times New Roman" w:eastAsia="Times New Roman" w:hAnsi="Times New Roman" w:cs="Times New Roman"/>
                <w:b/>
                <w:bCs/>
                <w:color w:val="000000"/>
                <w:sz w:val="26"/>
                <w:szCs w:val="26"/>
                <w:lang w:val="en-US" w:eastAsia="ru-RU"/>
              </w:rPr>
              <w:t>_______</w:t>
            </w:r>
            <w:r w:rsidRPr="001A7AE0">
              <w:rPr>
                <w:rFonts w:ascii="Times New Roman" w:eastAsia="Times New Roman" w:hAnsi="Times New Roman" w:cs="Times New Roman"/>
                <w:color w:val="000000"/>
                <w:sz w:val="26"/>
                <w:szCs w:val="26"/>
                <w:lang w:eastAsia="ru-RU"/>
              </w:rPr>
              <w:t xml:space="preserve">   СТИР: </w:t>
            </w:r>
            <w:r w:rsidR="006D4967">
              <w:rPr>
                <w:rFonts w:ascii="Times New Roman" w:eastAsia="Times New Roman" w:hAnsi="Times New Roman" w:cs="Times New Roman"/>
                <w:b/>
                <w:bCs/>
                <w:color w:val="000000"/>
                <w:sz w:val="26"/>
                <w:szCs w:val="26"/>
                <w:lang w:val="en-US" w:eastAsia="ru-RU"/>
              </w:rPr>
              <w:t>__________</w:t>
            </w:r>
          </w:p>
        </w:tc>
        <w:tc>
          <w:tcPr>
            <w:tcW w:w="281" w:type="dxa"/>
            <w:tcBorders>
              <w:top w:val="nil"/>
              <w:left w:val="nil"/>
              <w:bottom w:val="nil"/>
              <w:right w:val="nil"/>
            </w:tcBorders>
            <w:vAlign w:val="center"/>
            <w:hideMark/>
          </w:tcPr>
          <w:p w:rsidR="001A7AE0" w:rsidRPr="001A7AE0" w:rsidRDefault="001A7AE0" w:rsidP="001A7AE0">
            <w:pPr>
              <w:spacing w:after="0" w:line="240" w:lineRule="auto"/>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w:t>
            </w:r>
          </w:p>
        </w:tc>
        <w:tc>
          <w:tcPr>
            <w:tcW w:w="4562" w:type="dxa"/>
            <w:tcBorders>
              <w:top w:val="nil"/>
              <w:left w:val="nil"/>
              <w:bottom w:val="nil"/>
              <w:right w:val="nil"/>
            </w:tcBorders>
            <w:vAlign w:val="center"/>
            <w:hideMark/>
          </w:tcPr>
          <w:p w:rsidR="001A7AE0" w:rsidRPr="001A7AE0" w:rsidRDefault="001A7AE0" w:rsidP="001A7AE0">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Марказий банк Тошкент шаҳри Б.Б КХКМ</w:t>
            </w:r>
          </w:p>
        </w:tc>
      </w:tr>
      <w:tr w:rsidR="001A7AE0" w:rsidRPr="001A7AE0" w:rsidTr="001A7AE0">
        <w:trPr>
          <w:tblCellSpacing w:w="0" w:type="dxa"/>
        </w:trPr>
        <w:tc>
          <w:tcPr>
            <w:tcW w:w="4506" w:type="dxa"/>
            <w:tcBorders>
              <w:top w:val="nil"/>
              <w:left w:val="nil"/>
              <w:bottom w:val="nil"/>
              <w:right w:val="nil"/>
            </w:tcBorders>
            <w:vAlign w:val="center"/>
            <w:hideMark/>
          </w:tcPr>
          <w:p w:rsidR="001A7AE0" w:rsidRPr="001A7AE0" w:rsidRDefault="001A7AE0" w:rsidP="001A7AE0">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xml:space="preserve">ОКОНХ: </w:t>
            </w:r>
            <w:r w:rsidRPr="001A7AE0">
              <w:rPr>
                <w:rFonts w:ascii="Times New Roman" w:eastAsia="Times New Roman" w:hAnsi="Times New Roman" w:cs="Times New Roman"/>
                <w:b/>
                <w:bCs/>
                <w:color w:val="000000"/>
                <w:sz w:val="26"/>
                <w:szCs w:val="26"/>
                <w:lang w:eastAsia="ru-RU"/>
              </w:rPr>
              <w:t>_____________________</w:t>
            </w:r>
          </w:p>
        </w:tc>
        <w:tc>
          <w:tcPr>
            <w:tcW w:w="281" w:type="dxa"/>
            <w:tcBorders>
              <w:top w:val="nil"/>
              <w:left w:val="nil"/>
              <w:bottom w:val="nil"/>
              <w:right w:val="nil"/>
            </w:tcBorders>
            <w:vAlign w:val="center"/>
            <w:hideMark/>
          </w:tcPr>
          <w:p w:rsidR="001A7AE0" w:rsidRPr="001A7AE0" w:rsidRDefault="001A7AE0" w:rsidP="001A7AE0">
            <w:pPr>
              <w:spacing w:after="0" w:line="240" w:lineRule="auto"/>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w:t>
            </w:r>
          </w:p>
        </w:tc>
        <w:tc>
          <w:tcPr>
            <w:tcW w:w="4562" w:type="dxa"/>
            <w:tcBorders>
              <w:top w:val="nil"/>
              <w:left w:val="nil"/>
              <w:bottom w:val="nil"/>
              <w:right w:val="nil"/>
            </w:tcBorders>
            <w:vAlign w:val="center"/>
            <w:hideMark/>
          </w:tcPr>
          <w:p w:rsidR="001A7AE0" w:rsidRPr="001A7AE0" w:rsidRDefault="001A7AE0" w:rsidP="001A7AE0">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СТИР  201122919  МФО 00014</w:t>
            </w:r>
          </w:p>
        </w:tc>
      </w:tr>
      <w:tr w:rsidR="001A7AE0" w:rsidRPr="001A7AE0" w:rsidTr="001A7AE0">
        <w:trPr>
          <w:trHeight w:val="1021"/>
          <w:tblCellSpacing w:w="0" w:type="dxa"/>
        </w:trPr>
        <w:tc>
          <w:tcPr>
            <w:tcW w:w="4506" w:type="dxa"/>
            <w:tcBorders>
              <w:top w:val="nil"/>
              <w:left w:val="nil"/>
              <w:bottom w:val="single" w:sz="8" w:space="0" w:color="000000"/>
              <w:right w:val="nil"/>
            </w:tcBorders>
            <w:vAlign w:val="center"/>
            <w:hideMark/>
          </w:tcPr>
          <w:p w:rsidR="001A7AE0" w:rsidRPr="001A7AE0" w:rsidRDefault="001A7AE0" w:rsidP="001A7AE0">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w:t>
            </w:r>
          </w:p>
          <w:p w:rsidR="001A7AE0" w:rsidRPr="006D4967" w:rsidRDefault="001A7AE0" w:rsidP="006D4967">
            <w:pPr>
              <w:spacing w:after="0" w:line="240" w:lineRule="auto"/>
              <w:rPr>
                <w:rFonts w:ascii="Times New Roman" w:eastAsia="Times New Roman" w:hAnsi="Times New Roman" w:cs="Times New Roman"/>
                <w:sz w:val="24"/>
                <w:szCs w:val="24"/>
                <w:lang w:val="en-US" w:eastAsia="ru-RU"/>
              </w:rPr>
            </w:pPr>
            <w:r w:rsidRPr="001A7AE0">
              <w:rPr>
                <w:rFonts w:ascii="Times New Roman" w:eastAsia="Times New Roman" w:hAnsi="Times New Roman" w:cs="Times New Roman"/>
                <w:color w:val="000000"/>
                <w:sz w:val="26"/>
                <w:szCs w:val="26"/>
                <w:lang w:eastAsia="ru-RU"/>
              </w:rPr>
              <w:t xml:space="preserve">Раҳбар:______________  </w:t>
            </w:r>
            <w:r w:rsidR="006D4967">
              <w:rPr>
                <w:rFonts w:ascii="Times New Roman" w:eastAsia="Times New Roman" w:hAnsi="Times New Roman" w:cs="Times New Roman"/>
                <w:b/>
                <w:bCs/>
                <w:color w:val="000000"/>
                <w:sz w:val="26"/>
                <w:szCs w:val="26"/>
                <w:lang w:val="en-US" w:eastAsia="ru-RU"/>
              </w:rPr>
              <w:t>__________</w:t>
            </w:r>
          </w:p>
        </w:tc>
        <w:tc>
          <w:tcPr>
            <w:tcW w:w="281" w:type="dxa"/>
            <w:tcBorders>
              <w:top w:val="nil"/>
              <w:left w:val="nil"/>
              <w:bottom w:val="nil"/>
              <w:right w:val="nil"/>
            </w:tcBorders>
            <w:vAlign w:val="center"/>
            <w:hideMark/>
          </w:tcPr>
          <w:p w:rsidR="001A7AE0" w:rsidRPr="001A7AE0" w:rsidRDefault="001A7AE0" w:rsidP="001A7AE0">
            <w:pPr>
              <w:spacing w:after="0" w:line="240" w:lineRule="auto"/>
              <w:jc w:val="both"/>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w:t>
            </w:r>
          </w:p>
        </w:tc>
        <w:tc>
          <w:tcPr>
            <w:tcW w:w="4562" w:type="dxa"/>
            <w:tcBorders>
              <w:top w:val="nil"/>
              <w:left w:val="nil"/>
              <w:bottom w:val="single" w:sz="8" w:space="0" w:color="000000"/>
              <w:right w:val="nil"/>
            </w:tcBorders>
            <w:vAlign w:val="center"/>
            <w:hideMark/>
          </w:tcPr>
          <w:p w:rsidR="001A7AE0" w:rsidRPr="001A7AE0" w:rsidRDefault="001A7AE0" w:rsidP="001A7AE0">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w:t>
            </w:r>
          </w:p>
          <w:p w:rsidR="001A7AE0" w:rsidRPr="001A7AE0" w:rsidRDefault="001A7AE0" w:rsidP="001A7AE0">
            <w:pPr>
              <w:spacing w:after="0" w:line="240" w:lineRule="auto"/>
              <w:rPr>
                <w:rFonts w:ascii="Times New Roman" w:eastAsia="Times New Roman" w:hAnsi="Times New Roman" w:cs="Times New Roman"/>
                <w:sz w:val="24"/>
                <w:szCs w:val="24"/>
                <w:lang w:eastAsia="ru-RU"/>
              </w:rPr>
            </w:pPr>
            <w:r w:rsidRPr="001A7AE0">
              <w:rPr>
                <w:rFonts w:ascii="Times New Roman" w:eastAsia="Times New Roman" w:hAnsi="Times New Roman" w:cs="Times New Roman"/>
                <w:color w:val="000000"/>
                <w:sz w:val="26"/>
                <w:szCs w:val="26"/>
                <w:lang w:eastAsia="ru-RU"/>
              </w:rPr>
              <w:t xml:space="preserve">Раҳбар: _______________  </w:t>
            </w:r>
            <w:r w:rsidRPr="001A7AE0">
              <w:rPr>
                <w:rFonts w:ascii="Times New Roman" w:eastAsia="Times New Roman" w:hAnsi="Times New Roman" w:cs="Times New Roman"/>
                <w:b/>
                <w:bCs/>
                <w:color w:val="000000"/>
                <w:sz w:val="26"/>
                <w:szCs w:val="26"/>
                <w:lang w:eastAsia="ru-RU"/>
              </w:rPr>
              <w:t>Қ.Каримов</w:t>
            </w:r>
          </w:p>
        </w:tc>
      </w:tr>
    </w:tbl>
    <w:p w:rsidR="009C6A01" w:rsidRPr="001A7AE0" w:rsidRDefault="001A7AE0" w:rsidP="00E2789B">
      <w:pPr>
        <w:spacing w:after="0" w:line="240" w:lineRule="auto"/>
      </w:pPr>
      <w:r w:rsidRPr="001A7AE0">
        <w:rPr>
          <w:rFonts w:ascii="Times New Roman" w:eastAsia="Times New Roman" w:hAnsi="Times New Roman" w:cs="Times New Roman"/>
          <w:sz w:val="24"/>
          <w:szCs w:val="24"/>
          <w:lang w:eastAsia="ru-RU"/>
        </w:rPr>
        <w:t> </w:t>
      </w:r>
    </w:p>
    <w:sectPr w:rsidR="009C6A01" w:rsidRPr="001A7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85"/>
    <w:rsid w:val="000F7C58"/>
    <w:rsid w:val="001A7AE0"/>
    <w:rsid w:val="001E42C2"/>
    <w:rsid w:val="003C4D66"/>
    <w:rsid w:val="003F0987"/>
    <w:rsid w:val="004D3685"/>
    <w:rsid w:val="006C2A8C"/>
    <w:rsid w:val="006D4967"/>
    <w:rsid w:val="006E226F"/>
    <w:rsid w:val="008A1FDD"/>
    <w:rsid w:val="009C6A01"/>
    <w:rsid w:val="00AC6E6C"/>
    <w:rsid w:val="00E2789B"/>
    <w:rsid w:val="00F93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FE2ED-E6E1-4427-85C8-E9AA0448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1832,bqiaagaaeyqcaaagiaiaaanbbqaabwkfaaaaaaaaaaaaaaaaaaaaaaaaaaaaaaaaaaaaaaaaaaaaaaaaaaaaaaaaaaaaaaaaaaaaaaaaaaaaaaaaaaaaaaaaaaaaaaaaaaaaaaaaaaaaaaaaaaaaaaaaaaaaaaaaaaaaaaaaaaaaaaaaaaaaaaaaaaaaaaaaaaaaaaaaaaaaaaaaaaaaaaaaaaaaaaaaaaaaaaaa"/>
    <w:basedOn w:val="a0"/>
    <w:rsid w:val="001A7AE0"/>
  </w:style>
  <w:style w:type="paragraph" w:customStyle="1" w:styleId="129914">
    <w:name w:val="129914"/>
    <w:aliases w:val="bqiaagaaeyqcaaagiaiaaaob8geabanyaqaaaaaaaaaaaaaaaaaaaaaaaaaaaaaaaaaaaaaaaaaaaaaaaaaaaaaaaaaaaaaaaaaaaaaaaaaaaaaaaaaaaaaaaaaaaaaaaaaaaaaaaaaaaaaaaaaaaaaaaaaaaaaaaaaaaaaaaaaaaaaaaaaaaaaaaaaaaaaaaaaaaaaaaaaaaaaaaaaaaaaaaaaaaaaaaaaaaa"/>
    <w:basedOn w:val="a"/>
    <w:rsid w:val="001A7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A7A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15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Adliya</dc:creator>
  <cp:keywords/>
  <dc:description/>
  <cp:lastModifiedBy>Пользователь</cp:lastModifiedBy>
  <cp:revision>2</cp:revision>
  <dcterms:created xsi:type="dcterms:W3CDTF">2022-10-03T04:54:00Z</dcterms:created>
  <dcterms:modified xsi:type="dcterms:W3CDTF">2022-10-03T04:54:00Z</dcterms:modified>
</cp:coreProperties>
</file>