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ОЛДИ-СОТДИ ШАРТНОМАСИ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ҳудуд</w:t>
      </w:r>
      <w:proofErr w:type="spellEnd"/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сана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рақами</w:t>
      </w:r>
      <w:proofErr w:type="spellEnd"/>
    </w:p>
    <w:p w:rsidR="00727AA1" w:rsidRPr="00727AA1" w:rsidRDefault="00727AA1" w:rsidP="00727AA1">
      <w:pPr>
        <w:shd w:val="clear" w:color="auto" w:fill="FFFFFF"/>
        <w:spacing w:before="15" w:after="15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727AA1" w:rsidRPr="00727AA1" w:rsidRDefault="00727AA1" w:rsidP="00727AA1">
      <w:pPr>
        <w:shd w:val="clear" w:color="auto" w:fill="FFFFFF"/>
        <w:spacing w:before="15" w:after="15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Сотувчи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корхонанинг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номи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ва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юридик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шакли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Низом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раҳбари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Сотувчи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корхона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раҳбарининг</w:t>
      </w:r>
      <w:proofErr w:type="spellEnd"/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Pr="00E95313">
        <w:rPr>
          <w:rFonts w:eastAsia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Ф.И.О</w:t>
      </w:r>
      <w:r w:rsidRPr="00E95313"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  <w:t>.</w:t>
      </w: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95313">
        <w:rPr>
          <w:rFonts w:eastAsia="Times New Roman" w:cs="Times New Roman"/>
          <w:color w:val="000000"/>
          <w:sz w:val="24"/>
          <w:szCs w:val="24"/>
          <w:u w:val="single"/>
          <w:lang w:val="uz-Latn-UZ" w:eastAsia="ru-RU"/>
        </w:rPr>
        <w:t xml:space="preserve">Учқудуқ </w:t>
      </w:r>
      <w:r w:rsidR="009D788D">
        <w:rPr>
          <w:rFonts w:eastAsia="Times New Roman" w:cs="Times New Roman"/>
          <w:color w:val="000000"/>
          <w:sz w:val="24"/>
          <w:szCs w:val="24"/>
          <w:u w:val="single"/>
          <w:lang w:val="uz-Cyrl-UZ" w:eastAsia="ru-RU"/>
        </w:rPr>
        <w:t>саноат техникуми</w:t>
      </w: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Устави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кейинги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ўринларда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54AEE">
        <w:rPr>
          <w:rFonts w:eastAsia="Times New Roman" w:cs="Times New Roman"/>
          <w:color w:val="000000"/>
          <w:sz w:val="24"/>
          <w:szCs w:val="24"/>
          <w:lang w:val="uz-Cyrl-UZ" w:eastAsia="ru-RU"/>
        </w:rPr>
        <w:t>Ш</w:t>
      </w:r>
      <w:r w:rsidR="00E95313">
        <w:rPr>
          <w:rFonts w:eastAsia="Times New Roman" w:cs="Times New Roman"/>
          <w:color w:val="000000"/>
          <w:sz w:val="24"/>
          <w:szCs w:val="24"/>
          <w:u w:val="single"/>
          <w:lang w:val="uz-Latn-UZ" w:eastAsia="ru-RU"/>
        </w:rPr>
        <w:t>.</w:t>
      </w:r>
      <w:r w:rsidR="00954AEE">
        <w:rPr>
          <w:rFonts w:eastAsia="Times New Roman" w:cs="Times New Roman"/>
          <w:color w:val="000000"/>
          <w:sz w:val="24"/>
          <w:szCs w:val="24"/>
          <w:u w:val="single"/>
          <w:lang w:val="uz-Cyrl-UZ" w:eastAsia="ru-RU"/>
        </w:rPr>
        <w:t>Н</w:t>
      </w:r>
      <w:r w:rsidR="00E95313">
        <w:rPr>
          <w:rFonts w:eastAsia="Times New Roman" w:cs="Times New Roman"/>
          <w:color w:val="000000"/>
          <w:sz w:val="24"/>
          <w:szCs w:val="24"/>
          <w:u w:val="single"/>
          <w:lang w:val="uz-Latn-UZ" w:eastAsia="ru-RU"/>
        </w:rPr>
        <w:t>.</w:t>
      </w:r>
      <w:r w:rsidR="00954AEE">
        <w:rPr>
          <w:rFonts w:eastAsia="Times New Roman" w:cs="Times New Roman"/>
          <w:color w:val="000000"/>
          <w:sz w:val="24"/>
          <w:szCs w:val="24"/>
          <w:u w:val="single"/>
          <w:lang w:val="uz-Cyrl-UZ" w:eastAsia="ru-RU"/>
        </w:rPr>
        <w:t>Назаров</w:t>
      </w: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қуйидагилар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ўғ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рисида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туздилар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1.ШАРТНОМА ПРЕДМЕТИ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ў</w:t>
      </w: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зига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мулк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эса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қ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абул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қ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илиш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мажбуриятини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Товар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Ушбу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1.3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кисмидаги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№ 1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жадвалида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ў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рсатилган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1.3.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485"/>
        <w:gridCol w:w="2602"/>
        <w:gridCol w:w="1289"/>
        <w:gridCol w:w="1275"/>
        <w:gridCol w:w="1497"/>
      </w:tblGrid>
      <w:tr w:rsidR="00727AA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Товарнинг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Улчов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бирлиги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Миқдори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Бахоси</w:t>
            </w:r>
            <w:proofErr w:type="spellEnd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Суммаси</w:t>
            </w:r>
            <w:proofErr w:type="spellEnd"/>
          </w:p>
        </w:tc>
      </w:tr>
      <w:tr w:rsidR="00727AA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Матрац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2C4271">
            <w:pPr>
              <w:spacing w:after="0"/>
              <w:rPr>
                <w:rFonts w:eastAsia="Times New Roman" w:cs="Times New Roman"/>
                <w:sz w:val="20"/>
                <w:szCs w:val="20"/>
                <w:lang w:val="uz-Latn-UZ" w:eastAsia="ru-RU"/>
              </w:rPr>
            </w:pPr>
            <w:r w:rsidRPr="002C4271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2C427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BB1E9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120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BB1E9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12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000000</w:t>
            </w:r>
          </w:p>
        </w:tc>
      </w:tr>
      <w:tr w:rsidR="00727AA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Кўрпа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2C4271">
            <w:pPr>
              <w:spacing w:after="0"/>
              <w:rPr>
                <w:rFonts w:eastAsia="Times New Roman" w:cs="Times New Roman"/>
                <w:sz w:val="20"/>
                <w:szCs w:val="20"/>
                <w:lang w:val="uz-Latn-UZ" w:eastAsia="ru-RU"/>
              </w:rPr>
            </w:pPr>
            <w:r w:rsidRPr="002C4271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2C427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BB1E91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10</w:t>
            </w:r>
            <w:r w:rsidR="00BB1E91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10</w:t>
            </w:r>
            <w:r w:rsidR="00BB1E91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0000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00</w:t>
            </w:r>
          </w:p>
        </w:tc>
      </w:tr>
      <w:tr w:rsidR="00727AA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Ёстиқ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2C4271">
            <w:pPr>
              <w:spacing w:after="0"/>
              <w:rPr>
                <w:rFonts w:eastAsia="Times New Roman" w:cs="Times New Roman"/>
                <w:sz w:val="20"/>
                <w:szCs w:val="20"/>
                <w:lang w:val="uz-Latn-UZ" w:eastAsia="ru-RU"/>
              </w:rPr>
            </w:pPr>
            <w:r w:rsidRPr="002C4271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E67BDD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BB1E91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55</w:t>
            </w:r>
            <w:r w:rsidR="00BB1E91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5</w:t>
            </w:r>
            <w:r w:rsidR="00BB1E91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5000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00</w:t>
            </w:r>
          </w:p>
        </w:tc>
      </w:tr>
      <w:tr w:rsidR="00727AA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Чойшаблар тўплами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2C4271" w:rsidRDefault="002C4271" w:rsidP="002C427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2C4271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комплект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0502D8" w:rsidRDefault="00BB1E9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90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0502D8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90</w:t>
            </w:r>
            <w:r w:rsidR="000502D8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00000</w:t>
            </w:r>
          </w:p>
        </w:tc>
      </w:tr>
      <w:tr w:rsidR="00BB1E9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E91" w:rsidRPr="00BB1E91" w:rsidRDefault="00BB1E91" w:rsidP="00727AA1">
            <w:pPr>
              <w:spacing w:before="15" w:after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E91" w:rsidRPr="00BB1E91" w:rsidRDefault="00BB1E91" w:rsidP="00727AA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Сочиқ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E91" w:rsidRPr="00BB1E91" w:rsidRDefault="00BB1E91" w:rsidP="002C427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дона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E91" w:rsidRDefault="00BB1E9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E91" w:rsidRPr="00BB1E91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3</w:t>
            </w:r>
            <w:r w:rsidR="00BB1E91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5000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E91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3</w:t>
            </w:r>
            <w:r w:rsidR="00BB1E91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500000</w:t>
            </w:r>
          </w:p>
        </w:tc>
      </w:tr>
      <w:tr w:rsidR="00727AA1" w:rsidRPr="00727AA1" w:rsidTr="00CB4A09"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727AA1" w:rsidRDefault="00727AA1" w:rsidP="00727AA1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727AA1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5E7C77" w:rsidRDefault="00727AA1" w:rsidP="005E7C77">
            <w:pPr>
              <w:spacing w:before="15" w:after="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Жами: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AA1" w:rsidRPr="00CB4A09" w:rsidRDefault="00954AEE" w:rsidP="005E7C77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40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0</w:t>
            </w:r>
            <w:r w:rsidR="00CB4A09" w:rsidRPr="005E7C77">
              <w:rPr>
                <w:rFonts w:eastAsia="Times New Roman" w:cs="Times New Roman"/>
                <w:color w:val="000000"/>
                <w:sz w:val="24"/>
                <w:szCs w:val="24"/>
                <w:lang w:val="uz-Latn-UZ" w:eastAsia="ru-RU"/>
              </w:rPr>
              <w:t>00 000</w:t>
            </w:r>
          </w:p>
        </w:tc>
      </w:tr>
    </w:tbl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ба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ҳ</w:t>
      </w: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оси </w:t>
      </w:r>
      <w:r w:rsidR="00954AEE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Қирқ </w:t>
      </w:r>
      <w:r w:rsidR="00BB1E91">
        <w:rPr>
          <w:rFonts w:eastAsia="Times New Roman" w:cs="Times New Roman"/>
          <w:color w:val="000000"/>
          <w:sz w:val="24"/>
          <w:szCs w:val="24"/>
          <w:lang w:val="uz-Cyrl-UZ" w:eastAsia="ru-RU"/>
        </w:rPr>
        <w:t xml:space="preserve">миллион </w:t>
      </w:r>
      <w:r w:rsidRPr="00BB1E91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ў</w:t>
      </w:r>
      <w:r w:rsidRPr="00BB1E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мни </w:t>
      </w:r>
      <w:proofErr w:type="spellStart"/>
      <w:r w:rsidRPr="00BB1E91">
        <w:rPr>
          <w:rFonts w:eastAsia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BB1E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1E91">
        <w:rPr>
          <w:rFonts w:eastAsia="Times New Roman" w:cs="Times New Roman"/>
          <w:color w:val="000000"/>
          <w:sz w:val="24"/>
          <w:szCs w:val="24"/>
          <w:lang w:eastAsia="ru-RU"/>
        </w:rPr>
        <w:t>этади</w:t>
      </w:r>
      <w:proofErr w:type="spellEnd"/>
      <w:r w:rsidRPr="00BB1E9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ТЎЛОВ ШАРТЛАРИ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Ушбу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томон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ўртасида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имзоланганидан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54AEE">
        <w:rPr>
          <w:rFonts w:eastAsia="Times New Roman" w:cs="Times New Roman"/>
          <w:color w:val="000000"/>
          <w:sz w:val="24"/>
          <w:szCs w:val="24"/>
          <w:lang w:val="uz-Cyrl-UZ" w:eastAsia="ru-RU"/>
        </w:rPr>
        <w:t>30</w:t>
      </w: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%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шакли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Пул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9D788D">
        <w:rPr>
          <w:rFonts w:eastAsia="Times New Roman" w:cs="Times New Roman"/>
          <w:color w:val="000000"/>
          <w:sz w:val="24"/>
          <w:szCs w:val="24"/>
          <w:lang w:val="uz-Cyrl-UZ" w:eastAsia="ru-RU"/>
        </w:rPr>
        <w:t>ҳ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исоб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рақамига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йули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ТАРАФЛАРНИНГ МАЖБУРИЯТЛАРИ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2.1 банди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бажарилган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санадан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банк кун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топшириши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унга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оид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хужжатларни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шартларига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ташиш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жараёнида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бузилиши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синиши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йук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булиши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мумкинлигини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истисно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даражадаги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идишларда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жойлаштирилган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куздан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кунлик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куздан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келмаслиги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аникланган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шу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аникланган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номувофикликлар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маълумотларни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акс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эттирувчи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хабарнома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(рекламация)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юборади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ind w:firstLine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юборилганлиги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хабарномани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пайтдан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сифатлисига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ТАРАФЛАРНИНГ ЖАВОБГАРЛИГИ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кечиктириб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юборилган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холларда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товар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мажбурият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бажарилмаган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кисмининг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миқдори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бироқ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бунда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бахосининг</w:t>
      </w:r>
      <w:proofErr w:type="spellEnd"/>
      <w:r w:rsidRPr="00727AA1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максимал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фоиздан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кетмаслиги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Пеняни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мажбуриятларини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бузган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тарафни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муддатларини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кечиктириб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юбориш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бермаслик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окибатида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зарарни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коплашдан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озод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этмайди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Агар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стандартлар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техник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намуналарга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эталонларга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хужжатларида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бошка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шартларга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келмаса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кабул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хамда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тўлашни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кийматининг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ёмон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бўлганда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ундириладиган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олишга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агар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куйилган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булса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суммани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кайтаришни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хаклидир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берганлик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акцептсиз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олинади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тўламаганлик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берувчига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ўтказиб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юборилган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оширилмаган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аммо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пеняни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юқори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фоизидан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ортик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жавобгарлик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холатлари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юритувчи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субъектлар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фаолиятининг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шартномавий-хукукий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базаси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тугрисидаги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Қонуни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ШАРТНОМАНИ УЗГАРТИРИШ ВА БЕКОР КИЛИШ ТАРТИБИ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кандай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узгартириш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кушимчалар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улар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расмийлаштирилган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ваколатли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шахслари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имзоланган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ҳақикий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муддатидан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олдин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келишувига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мувофик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Республикасини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хужжатларида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асосларга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кура,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зарар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копланган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йул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куйилади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НИЗОЛАРНИ ХАЛ КИЛИШ ТАРТИБИ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боғлиқ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тарафлар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ўртасида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чиқадиган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низолар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талабнома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билдириш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тартибига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этилади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Билдирган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талабномасига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қонунда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ойлик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талаблари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каноатлантирилмаган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хукуки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бузилган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хисобловчи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тараф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низони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даъво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аризаси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жавобгар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жойлашган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судига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мурожаат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хакли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БОШҚА ШАРТЛАР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нусхада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бўлиб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иккаласи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хам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хил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тарафларга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нусхадан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берилади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7.2.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27AA1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ойга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қадар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Кушимча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Pr="00727AA1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Қўшимча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727AA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ТАРАФЛАРНИНГ ЮРИДИК</w:t>
      </w:r>
    </w:p>
    <w:p w:rsidR="00727AA1" w:rsidRPr="00727AA1" w:rsidRDefault="00727AA1" w:rsidP="00727AA1">
      <w:pPr>
        <w:shd w:val="clear" w:color="auto" w:fill="FFFFFF"/>
        <w:spacing w:before="15" w:after="15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7AA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МАНЗИЛЛАРИ ВА РЕКВИЗИТЛАРИ.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6970"/>
      </w:tblGrid>
      <w:tr w:rsidR="00727AA1" w:rsidRPr="00727AA1" w:rsidTr="00727AA1">
        <w:tc>
          <w:tcPr>
            <w:tcW w:w="5242" w:type="dxa"/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Сотиб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олувчи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27AA1" w:rsidRPr="00727AA1" w:rsidTr="00727AA1">
        <w:tc>
          <w:tcPr>
            <w:tcW w:w="5242" w:type="dxa"/>
            <w:shd w:val="clear" w:color="auto" w:fill="FFFFFF"/>
            <w:hideMark/>
          </w:tcPr>
          <w:p w:rsidR="00727AA1" w:rsidRPr="00727AA1" w:rsidRDefault="00727AA1" w:rsidP="00727AA1">
            <w:pPr>
              <w:spacing w:before="15" w:after="15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ҳақида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маълумотлар</w:t>
            </w:r>
            <w:proofErr w:type="spellEnd"/>
          </w:p>
          <w:p w:rsidR="00727AA1" w:rsidRPr="00727AA1" w:rsidRDefault="00727AA1" w:rsidP="00727AA1">
            <w:pPr>
              <w:spacing w:before="15" w:after="15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раҳбари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7AA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имзоси</w:t>
            </w:r>
            <w:proofErr w:type="spellEnd"/>
            <w:r w:rsidRPr="00727AA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5103" w:type="dxa"/>
            <w:shd w:val="clear" w:color="auto" w:fill="FFFFFF"/>
            <w:hideMark/>
          </w:tcPr>
          <w:tbl>
            <w:tblPr>
              <w:tblW w:w="6660" w:type="dxa"/>
              <w:tblLook w:val="04A0" w:firstRow="1" w:lastRow="0" w:firstColumn="1" w:lastColumn="0" w:noHBand="0" w:noVBand="1"/>
            </w:tblPr>
            <w:tblGrid>
              <w:gridCol w:w="5576"/>
              <w:gridCol w:w="222"/>
              <w:gridCol w:w="222"/>
              <w:gridCol w:w="520"/>
              <w:gridCol w:w="400"/>
            </w:tblGrid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9D788D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    </w:t>
                  </w:r>
                  <w:proofErr w:type="gram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Учкудук  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саноат</w:t>
                  </w:r>
                  <w:proofErr w:type="gramEnd"/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 xml:space="preserve"> техникуми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Юридик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манзилгох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Х.Дўстлиги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48</w:t>
                  </w:r>
                  <w:proofErr w:type="gram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9D788D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ТЕЛ:593-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3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9-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33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9D788D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ФАКС: 593-4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3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33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0B7635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ШХ/Р 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4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9D788D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9</w:t>
                  </w:r>
                  <w:r w:rsidR="000B7635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10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86012248709</w:t>
                  </w:r>
                  <w:r w:rsidR="000B7635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02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0B7635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4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0B7635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Банк </w:t>
                  </w: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номи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Марказий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банк </w:t>
                  </w: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Тошкент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ш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Банк </w:t>
                  </w:r>
                  <w:proofErr w:type="spellStart"/>
                  <w:proofErr w:type="gram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коди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МФО)00014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ИНН  305149316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ХХТУТ 85112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66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Ғазначилик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булими:Учкудук</w:t>
                  </w:r>
                  <w:proofErr w:type="spellEnd"/>
                  <w:proofErr w:type="gram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туман</w:t>
                  </w: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ЯГХР: 23402000300100001010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ИНН:201122919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954AEE" w:rsidRDefault="008A0ACC" w:rsidP="008A0AC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</w:pPr>
                  <w:proofErr w:type="spellStart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Рахбар</w:t>
                  </w:r>
                  <w:proofErr w:type="spellEnd"/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54AEE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Ш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954AEE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Н</w:t>
                  </w: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954AEE">
                    <w:rPr>
                      <w:rFonts w:eastAsia="Times New Roman" w:cs="Times New Roman"/>
                      <w:sz w:val="20"/>
                      <w:szCs w:val="20"/>
                      <w:lang w:val="uz-Cyrl-UZ" w:eastAsia="ru-RU"/>
                    </w:rPr>
                    <w:t>Назаров</w:t>
                  </w:r>
                  <w:bookmarkStart w:id="0" w:name="_GoBack"/>
                  <w:bookmarkEnd w:id="0"/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A0ACC" w:rsidRPr="008A0ACC" w:rsidTr="008A0ACC">
              <w:trPr>
                <w:trHeight w:val="255"/>
              </w:trPr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8A0AC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(Ф.И.О.)</w:t>
                  </w: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0ACC" w:rsidRPr="008A0ACC" w:rsidRDefault="008A0ACC" w:rsidP="008A0ACC">
                  <w:pPr>
                    <w:spacing w:after="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7AA1" w:rsidRPr="00727AA1" w:rsidRDefault="00727AA1" w:rsidP="00727AA1">
            <w:pPr>
              <w:spacing w:before="15" w:after="15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A1"/>
    <w:rsid w:val="0001516F"/>
    <w:rsid w:val="000502D8"/>
    <w:rsid w:val="000B7635"/>
    <w:rsid w:val="002B391A"/>
    <w:rsid w:val="002C4271"/>
    <w:rsid w:val="00540B22"/>
    <w:rsid w:val="005E7C77"/>
    <w:rsid w:val="00641166"/>
    <w:rsid w:val="006C0B77"/>
    <w:rsid w:val="006D20A1"/>
    <w:rsid w:val="00727AA1"/>
    <w:rsid w:val="008242FF"/>
    <w:rsid w:val="00870751"/>
    <w:rsid w:val="008A0ACC"/>
    <w:rsid w:val="00922C48"/>
    <w:rsid w:val="00954AEE"/>
    <w:rsid w:val="009D788D"/>
    <w:rsid w:val="00B02B38"/>
    <w:rsid w:val="00B915B7"/>
    <w:rsid w:val="00BB1E91"/>
    <w:rsid w:val="00CB4A09"/>
    <w:rsid w:val="00E67BDD"/>
    <w:rsid w:val="00E953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8010"/>
  <w15:docId w15:val="{52C29888-E102-4EF9-A607-112A9E5A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A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ructures">
    <w:name w:val="structures"/>
    <w:basedOn w:val="a0"/>
    <w:rsid w:val="00727AA1"/>
  </w:style>
  <w:style w:type="paragraph" w:customStyle="1" w:styleId="a4">
    <w:name w:val="a4"/>
    <w:basedOn w:val="a"/>
    <w:rsid w:val="00727A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Mouse</cp:lastModifiedBy>
  <cp:revision>3</cp:revision>
  <dcterms:created xsi:type="dcterms:W3CDTF">2022-09-22T07:04:00Z</dcterms:created>
  <dcterms:modified xsi:type="dcterms:W3CDTF">2022-11-03T07:05:00Z</dcterms:modified>
</cp:coreProperties>
</file>