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B0" w:rsidRPr="00E741FA" w:rsidRDefault="00BA21B0" w:rsidP="00BA21B0">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_____ ШАРТНОМА</w:t>
      </w:r>
    </w:p>
    <w:p w:rsidR="00BA21B0" w:rsidRPr="00E741FA" w:rsidRDefault="00BA21B0" w:rsidP="00BA21B0">
      <w:pPr>
        <w:spacing w:after="0" w:line="240" w:lineRule="auto"/>
        <w:jc w:val="both"/>
        <w:rPr>
          <w:rFonts w:ascii="Times New Roman" w:eastAsia="Batang" w:hAnsi="Times New Roman" w:cs="Times New Roman"/>
          <w:b/>
          <w:bCs/>
          <w:sz w:val="16"/>
          <w:szCs w:val="24"/>
          <w:lang w:val="uz-Cyrl-UZ" w:eastAsia="ko-KR"/>
        </w:rPr>
      </w:pP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t xml:space="preserve">       20___ йил «____» ___________</w:t>
      </w:r>
    </w:p>
    <w:p w:rsidR="00BA21B0" w:rsidRPr="00E741FA" w:rsidRDefault="00BA21B0" w:rsidP="00BA21B0">
      <w:pPr>
        <w:spacing w:after="0" w:line="240" w:lineRule="auto"/>
        <w:jc w:val="both"/>
        <w:rPr>
          <w:rFonts w:ascii="Times New Roman" w:eastAsia="Batang" w:hAnsi="Times New Roman" w:cs="Times New Roman"/>
          <w:sz w:val="16"/>
          <w:szCs w:val="24"/>
          <w:lang w:val="uz-Cyrl-UZ" w:eastAsia="ko-KR"/>
        </w:rPr>
      </w:pP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rsidR="00BA21B0" w:rsidRPr="00E741FA" w:rsidRDefault="00BA21B0" w:rsidP="00BA21B0">
      <w:pPr>
        <w:spacing w:after="0" w:line="240" w:lineRule="auto"/>
        <w:jc w:val="both"/>
        <w:rPr>
          <w:rFonts w:ascii="Times New Roman" w:eastAsia="Batang" w:hAnsi="Times New Roman" w:cs="Times New Roman"/>
          <w:sz w:val="14"/>
          <w:szCs w:val="24"/>
          <w:lang w:val="uz-Cyrl-UZ" w:eastAsia="ko-KR"/>
        </w:rPr>
      </w:pPr>
    </w:p>
    <w:p w:rsidR="00BA21B0" w:rsidRPr="00E741FA" w:rsidRDefault="00BA21B0" w:rsidP="00BA21B0">
      <w:pPr>
        <w:widowControl w:val="0"/>
        <w:numPr>
          <w:ilvl w:val="0"/>
          <w:numId w:val="1"/>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Шартномасига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топшириғи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1.2-бандида </w:t>
      </w:r>
      <w:proofErr w:type="spellStart"/>
      <w:r w:rsidRPr="00E741FA">
        <w:rPr>
          <w:rFonts w:ascii="Times New Roman" w:eastAsia="Batang" w:hAnsi="Times New Roman" w:cs="Times New Roman"/>
          <w:sz w:val="24"/>
          <w:szCs w:val="24"/>
          <w:lang w:val="ru-RU" w:eastAsia="ko-KR"/>
        </w:rPr>
        <w:t>қайд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бошлаб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тугагунига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куни</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Буюрмачи мактаб ўқувчиларини </w:t>
      </w:r>
      <w:bookmarkStart w:id="0" w:name="_Hlk74409773"/>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талаблар”га</w:t>
      </w:r>
      <w:bookmarkEnd w:id="0"/>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1.3.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манзили</w:t>
      </w:r>
      <w:proofErr w:type="spellEnd"/>
      <w:r w:rsidRPr="00E741FA">
        <w:rPr>
          <w:rFonts w:ascii="Times New Roman" w:eastAsia="Batang" w:hAnsi="Times New Roman" w:cs="Times New Roman"/>
          <w:sz w:val="24"/>
          <w:szCs w:val="24"/>
          <w:lang w:val="ru-RU"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1-2-иловаларга мувофиқ кўрсатилган.</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BA21B0" w:rsidRPr="00E741FA" w:rsidRDefault="00BA21B0" w:rsidP="00BA21B0">
      <w:pPr>
        <w:spacing w:after="0" w:line="240" w:lineRule="auto"/>
        <w:jc w:val="both"/>
        <w:rPr>
          <w:rFonts w:ascii="Times New Roman" w:eastAsia="Batang" w:hAnsi="Times New Roman" w:cs="Times New Roman"/>
          <w:sz w:val="12"/>
          <w:szCs w:val="12"/>
          <w:lang w:val="uz-Cyrl-UZ" w:eastAsia="ko-KR"/>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BA21B0" w:rsidRPr="00E741FA" w:rsidRDefault="00BA21B0" w:rsidP="00BA21B0">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2.1.2. Таомни сифатли тайёрлаш бўйича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 (</w:t>
      </w:r>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218-сонли «Ўзбекистон Республикаси 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2.1.3.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2.1.4.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2.1.5. Хизматларни мазкур Шартноманинг 1-2-иловаларида кўрсатилган муддатда ва тўлиқ ҳажмда кўрсатиши.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2.1.6.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w:t>
      </w:r>
      <w:r w:rsidRPr="00E741FA">
        <w:rPr>
          <w:rFonts w:ascii="Times New Roman" w:eastAsia="Batang" w:hAnsi="Times New Roman" w:cs="Times New Roman"/>
          <w:sz w:val="24"/>
          <w:szCs w:val="24"/>
          <w:lang w:val="uz-Cyrl-UZ" w:eastAsia="ko-KR"/>
        </w:rPr>
        <w:lastRenderedPageBreak/>
        <w:t>Буюртмачининг аниқланган камчиликларни бартараф этиш бўйича қонуний талабини 1 кун муддат ичида бажариш.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2.1.7.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2.1.8.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2.1.9. Хизмат кўрсатиш бўйича ишларни шахсан бажариши, мазкур Шартнома шартларини бажаришни учинчи шахсга топширмаслиги.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2.1.10.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2.1.12.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2.1.13.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2.1.14.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4-иловада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2.1.15. Аутсорсер мактаб ўқувчиларининг хавфсиз овқатланишини таъминлаш мақсадида мазкур Шартномага 5-иловада келтирилган шаклга мувофиқ сифати тез бузилувчи озиқ-овқат маҳсулотларини қайд этиш дафтарини юритиши лозим.</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2.1.16.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2.1.17.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2.1.18. Аутсорсер қонун хужжатларида белгиланган бошқа хуқуқларга эга.</w:t>
      </w:r>
    </w:p>
    <w:p w:rsidR="00BA21B0" w:rsidRPr="00E741FA" w:rsidRDefault="00BA21B0" w:rsidP="00BA21B0">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 вақтида тўланишини талаб қилиш.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BA21B0" w:rsidRPr="00E741FA" w:rsidRDefault="00BA21B0" w:rsidP="00BA21B0">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BA21B0" w:rsidRPr="00E741FA" w:rsidRDefault="00BA21B0" w:rsidP="00BA21B0">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2.4.2. Аутсорсердан ўз мажбуриятларини ушбу шартнома ва танлаш хужжатларида белгиланган талаблар доирасида бажаришини талаб қилиш;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2.3.6.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2.3.6.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BA21B0" w:rsidRPr="00E741FA" w:rsidRDefault="00BA21B0" w:rsidP="00BA21B0">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rsidR="00BA21B0" w:rsidRPr="00E741FA" w:rsidRDefault="00BA21B0" w:rsidP="00BA21B0">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 Шартнома умумий суммаси </w:t>
      </w:r>
      <w:r w:rsidRPr="00E741FA">
        <w:rPr>
          <w:rFonts w:ascii="Times New Roman" w:eastAsia="Batang" w:hAnsi="Times New Roman" w:cs="Times New Roman"/>
          <w:sz w:val="24"/>
          <w:szCs w:val="24"/>
          <w:lang w:val="ru-RU" w:eastAsia="ko-KR"/>
        </w:rPr>
        <w:t>_________ кун</w:t>
      </w:r>
      <w:r w:rsidRPr="00E741FA">
        <w:rPr>
          <w:rFonts w:ascii="Times New Roman" w:eastAsia="Batang" w:hAnsi="Times New Roman" w:cs="Times New Roman"/>
          <w:sz w:val="24"/>
          <w:szCs w:val="24"/>
          <w:lang w:val="uz-Cyrl-UZ" w:eastAsia="ko-KR"/>
        </w:rPr>
        <w:t xml:space="preserve"> учун 1-2-иловаларга мувофиқ келтирилган</w:t>
      </w:r>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хизмат хусусиятлари йиғиндисидан ташкил топади. </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Буюртмачи олдиндан тўловни шартнома ойлик суммасининг 15 фоизи миқдорида шартнома кучга кирган кундан 10 (ўн) банк куни ичида ўтказади. </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3.3.1. 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3.3.2. 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1" w:name="_Hlk74399689"/>
      <w:r w:rsidRPr="00E741FA">
        <w:rPr>
          <w:rFonts w:ascii="Times New Roman" w:eastAsia="Batang" w:hAnsi="Times New Roman" w:cs="Times New Roman"/>
          <w:sz w:val="24"/>
          <w:szCs w:val="24"/>
          <w:lang w:val="uz-Cyrl-UZ" w:eastAsia="ko-KR"/>
        </w:rPr>
        <w:t>тасдиқланган озиқ-овқат маҳсулотлари</w:t>
      </w:r>
      <w:bookmarkEnd w:id="1"/>
      <w:r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Pr="00E741FA">
        <w:rPr>
          <w:rFonts w:ascii="Times New Roman" w:eastAsia="Batang" w:hAnsi="Times New Roman" w:cs="Times New Roman"/>
          <w:b/>
          <w:sz w:val="24"/>
          <w:szCs w:val="24"/>
          <w:lang w:val="uz-Cyrl-UZ" w:eastAsia="ko-KR"/>
        </w:rPr>
        <w:t xml:space="preserve">“___” фоиз </w:t>
      </w:r>
      <w:r w:rsidRPr="00E741FA">
        <w:rPr>
          <w:rFonts w:ascii="Times New Roman" w:eastAsia="Batang" w:hAnsi="Times New Roman" w:cs="Times New Roman"/>
          <w:b/>
          <w:bCs/>
          <w:sz w:val="24"/>
          <w:szCs w:val="24"/>
          <w:lang w:val="uz-Cyrl-UZ" w:eastAsia="ko-KR"/>
        </w:rPr>
        <w:t>устама ҳақи</w:t>
      </w:r>
      <w:r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3.3.3.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 xml:space="preserve">3.3.4.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3.3.5. Мазкур Шартномага </w:t>
      </w:r>
      <w:r w:rsidRPr="00E741FA">
        <w:fldChar w:fldCharType="begin"/>
      </w:r>
      <w:r w:rsidRPr="00E741FA">
        <w:rPr>
          <w:lang w:val="uz-Cyrl-UZ"/>
        </w:rPr>
        <w:instrText xml:space="preserve"> HYPERLINK "javascript:scrollText(4292588)" </w:instrText>
      </w:r>
      <w:r w:rsidRPr="00E741FA">
        <w:fldChar w:fldCharType="separate"/>
      </w:r>
      <w:r w:rsidRPr="00E741FA">
        <w:rPr>
          <w:rFonts w:ascii="Times New Roman" w:eastAsia="Batang" w:hAnsi="Times New Roman" w:cs="Times New Roman"/>
          <w:sz w:val="24"/>
          <w:szCs w:val="24"/>
          <w:lang w:val="uz-Cyrl-UZ" w:eastAsia="ko-KR"/>
        </w:rPr>
        <w:t xml:space="preserve">3-иловада </w:t>
      </w:r>
      <w:r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BA21B0" w:rsidRPr="00E741FA" w:rsidRDefault="00BA21B0" w:rsidP="00BA21B0">
      <w:pPr>
        <w:spacing w:after="0" w:line="240" w:lineRule="auto"/>
        <w:jc w:val="both"/>
        <w:rPr>
          <w:rFonts w:ascii="Times New Roman" w:eastAsia="Batang" w:hAnsi="Times New Roman" w:cs="Times New Roman"/>
          <w:sz w:val="12"/>
          <w:szCs w:val="12"/>
          <w:lang w:val="uz-Cyrl-UZ" w:eastAsia="ko-KR"/>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(жарима) 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танлаш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BA21B0" w:rsidRPr="00E741FA" w:rsidRDefault="00BA21B0" w:rsidP="00BA21B0">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rsidR="00BA21B0" w:rsidRPr="00E741FA" w:rsidRDefault="00BA21B0" w:rsidP="00BA21B0">
      <w:pPr>
        <w:spacing w:after="0" w:line="240" w:lineRule="auto"/>
        <w:jc w:val="both"/>
        <w:rPr>
          <w:rFonts w:ascii="Times New Roman" w:eastAsia="Batang" w:hAnsi="Times New Roman" w:cs="Times New Roman"/>
          <w:sz w:val="12"/>
          <w:szCs w:val="12"/>
          <w:lang w:val="uz-Cyrl-UZ" w:eastAsia="ko-KR"/>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5.1.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юзага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мумкин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имкон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5.2.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бўлмайдиган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назарда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суддан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олдин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бартараф</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тартиб-таомили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оширилгандан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белгиланган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тартибда</w:t>
      </w:r>
      <w:proofErr w:type="spellEnd"/>
      <w:r w:rsidRPr="00E741FA">
        <w:rPr>
          <w:rFonts w:ascii="Times New Roman" w:eastAsia="Batang" w:hAnsi="Times New Roman" w:cs="Times New Roman"/>
          <w:sz w:val="24"/>
          <w:szCs w:val="24"/>
          <w:lang w:val="uz-Cyrl-UZ" w:eastAsia="ko-KR"/>
        </w:rPr>
        <w:t xml:space="preserve"> Иқтисодий </w:t>
      </w:r>
      <w:proofErr w:type="spellStart"/>
      <w:r w:rsidRPr="00E741FA">
        <w:rPr>
          <w:rFonts w:ascii="Times New Roman" w:eastAsia="Batang" w:hAnsi="Times New Roman" w:cs="Times New Roman"/>
          <w:sz w:val="24"/>
          <w:szCs w:val="24"/>
          <w:lang w:val="ru-RU" w:eastAsia="ko-KR"/>
        </w:rPr>
        <w:t>судларда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чиқиш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берилади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ёки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тўлиқ</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бажарилмаганлиги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енгиб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бўлмас</w:t>
      </w:r>
      <w:proofErr w:type="spellEnd"/>
      <w:r w:rsidRPr="00E741FA">
        <w:rPr>
          <w:rFonts w:ascii="Times New Roman" w:eastAsia="Batang" w:hAnsi="Times New Roman" w:cs="Times New Roman"/>
          <w:sz w:val="24"/>
          <w:szCs w:val="24"/>
          <w:lang w:val="ru-RU" w:eastAsia="ko-KR"/>
        </w:rPr>
        <w:t xml:space="preserve"> куч, </w:t>
      </w:r>
      <w:proofErr w:type="spellStart"/>
      <w:r w:rsidRPr="00E741FA">
        <w:rPr>
          <w:rFonts w:ascii="Times New Roman" w:eastAsia="Batang" w:hAnsi="Times New Roman" w:cs="Times New Roman"/>
          <w:sz w:val="24"/>
          <w:szCs w:val="24"/>
          <w:lang w:val="ru-RU" w:eastAsia="ko-KR"/>
        </w:rPr>
        <w:t>яъни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офатлар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техноген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тусдаги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фавқулодда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оқибати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ҳисобланса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озод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қилинади</w:t>
      </w:r>
      <w:proofErr w:type="spellEnd"/>
      <w:r w:rsidRPr="00E741FA">
        <w:rPr>
          <w:rFonts w:ascii="Times New Roman" w:eastAsia="Batang" w:hAnsi="Times New Roman" w:cs="Times New Roman"/>
          <w:sz w:val="24"/>
          <w:szCs w:val="24"/>
          <w:lang w:val="ru-RU" w:eastAsia="ko-KR"/>
        </w:rPr>
        <w:t xml:space="preserve">. Бунда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мутаносиб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равишда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ҳодисалар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рўй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сурилади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8"/>
          <w:szCs w:val="24"/>
          <w:lang w:val="ru-RU" w:eastAsia="ko-KR"/>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7.1. Ушбу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ўзгартириш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қўшимчалар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фақат</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ёзма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шаклда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расмийлаштирилиб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ваколатли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вакиллари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томонидан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имзолангандан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ҳақиқий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иловалар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ажралмас</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ташкил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xml:space="preserve">.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тузилган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Иккала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айнан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хил </w:t>
      </w:r>
      <w:proofErr w:type="spellStart"/>
      <w:r w:rsidRPr="00E741FA">
        <w:rPr>
          <w:rFonts w:ascii="Times New Roman" w:eastAsia="Batang" w:hAnsi="Times New Roman" w:cs="Times New Roman"/>
          <w:sz w:val="24"/>
          <w:szCs w:val="24"/>
          <w:lang w:val="ru-RU" w:eastAsia="ko-KR"/>
        </w:rPr>
        <w:t>юридик</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lastRenderedPageBreak/>
        <w:t>VIII. МАЗКУР ШАРТНОМАНИНГ АМАЛ ҚИЛИШ МУДДАТИ</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8.1.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рўйхатидан ўтгандан сўнг</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киради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bookmarkStart w:id="2" w:name="_Hlk81215519"/>
      <w:r w:rsidRPr="00E741FA">
        <w:rPr>
          <w:rFonts w:ascii="Times New Roman" w:eastAsia="Batang" w:hAnsi="Times New Roman" w:cs="Times New Roman"/>
          <w:sz w:val="24"/>
          <w:szCs w:val="24"/>
          <w:lang w:val="uz-Cyrl-UZ" w:eastAsia="ko-KR"/>
        </w:rPr>
        <w:t>1-2-иловаларда кўрсатилган муддатгача</w:t>
      </w:r>
      <w:bookmarkEnd w:id="2"/>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қилади</w:t>
      </w:r>
      <w:proofErr w:type="spellEnd"/>
      <w:r w:rsidRPr="00E741FA">
        <w:rPr>
          <w:rFonts w:ascii="Times New Roman" w:eastAsia="Batang" w:hAnsi="Times New Roman" w:cs="Times New Roman"/>
          <w:sz w:val="24"/>
          <w:szCs w:val="24"/>
          <w:lang w:val="ru-RU" w:eastAsia="ko-KR"/>
        </w:rPr>
        <w:t>.</w:t>
      </w:r>
    </w:p>
    <w:p w:rsidR="00BA21B0" w:rsidRPr="00E741FA" w:rsidRDefault="00BA21B0" w:rsidP="00BA21B0">
      <w:pPr>
        <w:spacing w:after="0" w:line="240" w:lineRule="auto"/>
        <w:jc w:val="both"/>
        <w:rPr>
          <w:rFonts w:ascii="Times New Roman" w:eastAsia="Batang" w:hAnsi="Times New Roman" w:cs="Times New Roman"/>
          <w:sz w:val="24"/>
          <w:szCs w:val="24"/>
          <w:lang w:val="ru-RU" w:eastAsia="ko-KR"/>
        </w:rPr>
      </w:pPr>
    </w:p>
    <w:p w:rsidR="00BA21B0" w:rsidRPr="00E741FA" w:rsidRDefault="00BA21B0" w:rsidP="00BA21B0">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IX. ТОМОНЛАРНИНГ МАНЗИЛИ ВА БАНК РЕКВИЗИТЛАРИ</w:t>
      </w:r>
    </w:p>
    <w:p w:rsidR="00BA21B0" w:rsidRPr="00E741FA" w:rsidRDefault="00BA21B0" w:rsidP="00BA21B0">
      <w:pPr>
        <w:spacing w:after="0" w:line="240" w:lineRule="auto"/>
        <w:ind w:left="360"/>
        <w:jc w:val="center"/>
        <w:rPr>
          <w:rFonts w:ascii="Times New Roman" w:eastAsia="Batang" w:hAnsi="Times New Roman" w:cs="Times New Roman"/>
          <w:b/>
          <w:sz w:val="24"/>
          <w:szCs w:val="24"/>
          <w:lang w:val="ru-RU" w:eastAsia="ko-KR"/>
        </w:rPr>
      </w:pPr>
    </w:p>
    <w:p w:rsidR="00BA21B0" w:rsidRPr="00E741FA" w:rsidRDefault="00BA21B0" w:rsidP="00BA21B0">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662"/>
        <w:gridCol w:w="980"/>
        <w:gridCol w:w="4562"/>
      </w:tblGrid>
      <w:tr w:rsidR="00BA21B0" w:rsidRPr="00E741FA" w:rsidTr="00F359A8">
        <w:tc>
          <w:tcPr>
            <w:tcW w:w="4662" w:type="dxa"/>
            <w:tcBorders>
              <w:bottom w:val="single" w:sz="4" w:space="0" w:color="auto"/>
            </w:tcBorders>
          </w:tcPr>
          <w:p w:rsidR="00BA21B0" w:rsidRPr="00E741FA" w:rsidRDefault="00BA21B0" w:rsidP="00F359A8">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t xml:space="preserve">                             </w:t>
            </w:r>
          </w:p>
        </w:tc>
        <w:tc>
          <w:tcPr>
            <w:tcW w:w="980" w:type="dxa"/>
          </w:tcPr>
          <w:p w:rsidR="00BA21B0" w:rsidRPr="00E741FA" w:rsidRDefault="00BA21B0" w:rsidP="00F359A8">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rsidR="00BA21B0" w:rsidRPr="00E741FA" w:rsidRDefault="00BA21B0" w:rsidP="00F359A8">
            <w:pPr>
              <w:spacing w:after="0" w:line="240" w:lineRule="auto"/>
              <w:jc w:val="center"/>
              <w:rPr>
                <w:rFonts w:ascii="Times New Roman" w:eastAsia="Batang" w:hAnsi="Times New Roman" w:cs="Times New Roman"/>
                <w:b/>
                <w:sz w:val="32"/>
                <w:szCs w:val="32"/>
                <w:lang w:val="uz-Cyrl-UZ"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uz-Cyrl-UZ"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tabs>
                <w:tab w:val="right" w:pos="4212"/>
              </w:tabs>
              <w:spacing w:after="0" w:line="240" w:lineRule="auto"/>
              <w:jc w:val="both"/>
              <w:rPr>
                <w:rFonts w:ascii="Times New Roman" w:eastAsia="Batang" w:hAnsi="Times New Roman" w:cs="Times New Roman"/>
                <w:b/>
                <w:sz w:val="28"/>
                <w:szCs w:val="28"/>
                <w:lang w:val="ru-RU"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r>
      <w:tr w:rsidR="00BA21B0" w:rsidRPr="00E741FA" w:rsidTr="00F359A8">
        <w:tc>
          <w:tcPr>
            <w:tcW w:w="46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sz w:val="28"/>
                <w:szCs w:val="28"/>
                <w:lang w:val="ru-RU" w:eastAsia="ko-KR"/>
              </w:rPr>
            </w:pP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BA21B0" w:rsidRPr="00E741FA" w:rsidRDefault="00BA21B0" w:rsidP="00F359A8">
            <w:pPr>
              <w:spacing w:after="0" w:line="240" w:lineRule="auto"/>
              <w:jc w:val="both"/>
              <w:rPr>
                <w:rFonts w:ascii="Times New Roman" w:eastAsia="Batang" w:hAnsi="Times New Roman" w:cs="Times New Roman"/>
                <w:b/>
                <w:sz w:val="28"/>
                <w:szCs w:val="28"/>
                <w:lang w:val="uz-Cyrl-UZ" w:eastAsia="ko-KR"/>
              </w:rPr>
            </w:pPr>
          </w:p>
        </w:tc>
      </w:tr>
      <w:tr w:rsidR="00BA21B0" w:rsidRPr="00E741FA" w:rsidTr="00F359A8">
        <w:tc>
          <w:tcPr>
            <w:tcW w:w="4662" w:type="dxa"/>
            <w:tcBorders>
              <w:top w:val="single" w:sz="4" w:space="0" w:color="auto"/>
            </w:tcBorders>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p>
          <w:p w:rsidR="00BA21B0" w:rsidRPr="00E741FA" w:rsidRDefault="00BA21B0" w:rsidP="00F359A8">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rsidR="00BA21B0" w:rsidRPr="00E741FA" w:rsidRDefault="00BA21B0" w:rsidP="00BA21B0">
      <w:pPr>
        <w:spacing w:after="0" w:line="240" w:lineRule="auto"/>
        <w:jc w:val="both"/>
        <w:rPr>
          <w:rFonts w:ascii="Times New Roman" w:eastAsia="Batang" w:hAnsi="Times New Roman" w:cs="Times New Roman"/>
          <w:b/>
          <w:sz w:val="26"/>
          <w:szCs w:val="26"/>
          <w:lang w:val="ru-RU" w:eastAsia="ko-KR"/>
        </w:rPr>
        <w:sectPr w:rsidR="00BA21B0" w:rsidRPr="00E741FA" w:rsidSect="00282299">
          <w:pgSz w:w="11906" w:h="16838"/>
          <w:pgMar w:top="567" w:right="566" w:bottom="1134" w:left="993" w:header="567" w:footer="454" w:gutter="0"/>
          <w:cols w:space="708"/>
          <w:titlePg/>
          <w:docGrid w:linePitch="360"/>
        </w:sectPr>
      </w:pPr>
    </w:p>
    <w:p w:rsidR="00820611" w:rsidRPr="00E741FA" w:rsidRDefault="00820611" w:rsidP="0082061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3" w:name="_Hlk74401892"/>
      <w:r w:rsidRPr="00E741FA">
        <w:rPr>
          <w:rFonts w:ascii="Times New Roman" w:eastAsia="Calibri" w:hAnsi="Times New Roman" w:cs="Times New Roman"/>
          <w:sz w:val="24"/>
          <w:szCs w:val="24"/>
          <w:lang w:val="ru-RU"/>
        </w:rPr>
        <w:lastRenderedPageBreak/>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____-сон </w:t>
      </w:r>
      <w:hyperlink r:id="rId5"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3"/>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2022-йилда мактаб ўқувчиларини соғлом овқатлантириш хизматини </w:t>
      </w:r>
    </w:p>
    <w:p w:rsidR="00820611" w:rsidRPr="00E741FA" w:rsidRDefault="00820611" w:rsidP="00820611">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820611" w:rsidRPr="00E741FA" w:rsidRDefault="00820611" w:rsidP="0082061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20___-йил 31 декабргача.</w:t>
      </w:r>
    </w:p>
    <w:p w:rsidR="00820611" w:rsidRPr="00E741FA" w:rsidRDefault="00820611" w:rsidP="0082061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uz-Cyrl-UZ"/>
        </w:rPr>
        <w:t xml:space="preserve"> сўм ҚҚС билан бирга (2022-йил учун).</w:t>
      </w:r>
    </w:p>
    <w:p w:rsidR="00820611" w:rsidRPr="00E741FA" w:rsidRDefault="00820611" w:rsidP="0082061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5"/>
        <w:gridCol w:w="2594"/>
        <w:gridCol w:w="1245"/>
        <w:gridCol w:w="1017"/>
        <w:gridCol w:w="1421"/>
        <w:gridCol w:w="1178"/>
        <w:gridCol w:w="1396"/>
        <w:gridCol w:w="1117"/>
      </w:tblGrid>
      <w:tr w:rsidR="00820611" w:rsidRPr="00B85D64" w:rsidTr="00F359A8">
        <w:trPr>
          <w:trHeight w:val="591"/>
        </w:trPr>
        <w:tc>
          <w:tcPr>
            <w:tcW w:w="245" w:type="pct"/>
            <w:vMerge w:val="restar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237" w:type="pct"/>
            <w:vMerge w:val="restar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94" w:type="pct"/>
            <w:vMerge w:val="restart"/>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4" w:type="pct"/>
            <w:vMerge w:val="restar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40" w:type="pct"/>
            <w:gridSpan w:val="4"/>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820611" w:rsidRPr="00E741FA" w:rsidTr="00F359A8">
        <w:tc>
          <w:tcPr>
            <w:tcW w:w="245" w:type="pct"/>
            <w:vMerge/>
            <w:shd w:val="clear" w:color="auto" w:fill="FFFFFF"/>
            <w:vAlign w:val="center"/>
            <w:hideMark/>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484" w:type="pct"/>
            <w:vMerge/>
            <w:shd w:val="clear" w:color="auto" w:fill="FFFFFF"/>
            <w:vAlign w:val="center"/>
            <w:hideMark/>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820611" w:rsidRPr="00B85D64" w:rsidTr="00F359A8">
        <w:trPr>
          <w:trHeight w:val="1513"/>
        </w:trPr>
        <w:tc>
          <w:tcPr>
            <w:tcW w:w="245"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84"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78"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62" w:type="pct"/>
            <w:shd w:val="clear" w:color="auto" w:fill="FFFFFF"/>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66" w:type="pct"/>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34" w:type="pct"/>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20611" w:rsidRPr="00E741FA" w:rsidTr="00F359A8">
        <w:trPr>
          <w:trHeight w:val="525"/>
        </w:trPr>
        <w:tc>
          <w:tcPr>
            <w:tcW w:w="245" w:type="pct"/>
            <w:shd w:val="clear" w:color="auto" w:fill="FFFFFF"/>
            <w:tcMar>
              <w:top w:w="0" w:type="dxa"/>
              <w:left w:w="108" w:type="dxa"/>
              <w:bottom w:w="0" w:type="dxa"/>
              <w:right w:w="108" w:type="dxa"/>
            </w:tcMa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200" w:type="pct"/>
            <w:gridSpan w:val="2"/>
            <w:shd w:val="clear" w:color="auto" w:fill="FFFFFF"/>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20611" w:rsidRPr="00E741FA" w:rsidTr="00F359A8">
        <w:trPr>
          <w:trHeight w:val="525"/>
        </w:trPr>
        <w:tc>
          <w:tcPr>
            <w:tcW w:w="245" w:type="pct"/>
            <w:shd w:val="clear" w:color="auto" w:fill="FFFFFF"/>
            <w:tcMar>
              <w:top w:w="0" w:type="dxa"/>
              <w:left w:w="108" w:type="dxa"/>
              <w:bottom w:w="0" w:type="dxa"/>
              <w:right w:w="108" w:type="dxa"/>
            </w:tcMa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lang w:val="ru-RU"/>
              </w:rPr>
              <w:t xml:space="preserve">_____________________________ </w:t>
            </w:r>
            <w:r w:rsidRPr="00E741FA">
              <w:rPr>
                <w:rFonts w:ascii="Times New Roman" w:eastAsia="Calibri" w:hAnsi="Times New Roman" w:cs="Times New Roman"/>
                <w:lang w:val="uz-Cyrl-UZ"/>
              </w:rPr>
              <w:t>сўм</w:t>
            </w:r>
          </w:p>
        </w:tc>
      </w:tr>
    </w:tbl>
    <w:p w:rsidR="00820611" w:rsidRPr="00E741FA" w:rsidRDefault="00820611" w:rsidP="00820611">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20611" w:rsidRDefault="00820611" w:rsidP="0082061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820611" w:rsidRDefault="00820611" w:rsidP="0082061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820611" w:rsidRDefault="00820611" w:rsidP="0082061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820611" w:rsidRDefault="00820611" w:rsidP="0082061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p>
    <w:p w:rsidR="00820611" w:rsidRPr="00E741FA" w:rsidRDefault="00820611" w:rsidP="00820611">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Pr="00E741FA">
        <w:rPr>
          <w:rFonts w:ascii="Times New Roman" w:eastAsia="Calibri" w:hAnsi="Times New Roman" w:cs="Times New Roman"/>
          <w:sz w:val="24"/>
          <w:szCs w:val="24"/>
          <w:lang w:val="uz-Cyrl-UZ"/>
        </w:rPr>
        <w:t>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Batang" w:hAnsi="Times New Roman" w:cs="Times New Roman"/>
          <w:sz w:val="24"/>
          <w:szCs w:val="24"/>
          <w:lang w:val="uz-Cyrl-UZ" w:eastAsia="ko-KR"/>
        </w:rPr>
        <w:t>«</w:t>
      </w:r>
      <w:r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r w:rsidRPr="00E741FA">
        <w:rPr>
          <w:rFonts w:ascii="Times New Roman" w:eastAsia="Batang" w:hAnsi="Times New Roman" w:cs="Times New Roman"/>
          <w:sz w:val="24"/>
          <w:szCs w:val="24"/>
          <w:lang w:val="ru-RU" w:eastAsia="ko-KR"/>
        </w:rPr>
        <w:t>___________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______-сон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2-ИЛОВА</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820611" w:rsidRPr="00E741FA" w:rsidRDefault="00820611" w:rsidP="00820611">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820611" w:rsidRPr="00E741FA" w:rsidRDefault="00820611" w:rsidP="00820611">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20___-йил 31-декабргача.</w:t>
      </w:r>
    </w:p>
    <w:p w:rsidR="00820611" w:rsidRPr="00E741FA" w:rsidRDefault="00820611" w:rsidP="00820611">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 xml:space="preserve">_______________ </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rsidR="00820611" w:rsidRPr="00E741FA" w:rsidRDefault="00820611" w:rsidP="00820611">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“___”</w:t>
      </w:r>
      <w:r w:rsidRPr="00E741FA">
        <w:rPr>
          <w:rFonts w:ascii="Times New Roman" w:eastAsia="Calibri" w:hAnsi="Times New Roman" w:cs="Times New Roman"/>
          <w:sz w:val="24"/>
          <w:szCs w:val="24"/>
          <w:lang w:val="uz-Cyrl-UZ"/>
        </w:rPr>
        <w:t xml:space="preserve"> фоиз.</w:t>
      </w: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5"/>
        <w:gridCol w:w="2839"/>
        <w:gridCol w:w="1245"/>
        <w:gridCol w:w="1013"/>
        <w:gridCol w:w="11"/>
        <w:gridCol w:w="1410"/>
        <w:gridCol w:w="1204"/>
        <w:gridCol w:w="1371"/>
        <w:gridCol w:w="1219"/>
      </w:tblGrid>
      <w:tr w:rsidR="00820611" w:rsidRPr="00B85D64" w:rsidTr="00F359A8">
        <w:trPr>
          <w:trHeight w:val="591"/>
        </w:trPr>
        <w:tc>
          <w:tcPr>
            <w:tcW w:w="238" w:type="pct"/>
            <w:vMerge w:val="restar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311" w:type="pct"/>
            <w:vMerge w:val="restar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5" w:type="pct"/>
            <w:vMerge w:val="restart"/>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7" w:type="pct"/>
            <w:gridSpan w:val="5"/>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820611" w:rsidRPr="00E741FA" w:rsidTr="00F359A8">
        <w:tc>
          <w:tcPr>
            <w:tcW w:w="238" w:type="pct"/>
            <w:vMerge/>
            <w:shd w:val="clear" w:color="auto" w:fill="FFFFFF"/>
            <w:vAlign w:val="center"/>
            <w:hideMark/>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rsidR="00820611" w:rsidRPr="00E741FA" w:rsidRDefault="00820611" w:rsidP="00F359A8">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820611" w:rsidRPr="00B85D64" w:rsidTr="00F359A8">
        <w:trPr>
          <w:trHeight w:val="1513"/>
        </w:trPr>
        <w:tc>
          <w:tcPr>
            <w:tcW w:w="238"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8" w:type="pct"/>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556" w:type="pct"/>
            <w:shd w:val="clear" w:color="auto" w:fill="FFFFFF"/>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33" w:type="pct"/>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563" w:type="pct"/>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20611" w:rsidRPr="00B85D64" w:rsidTr="00F359A8">
        <w:trPr>
          <w:trHeight w:val="525"/>
        </w:trPr>
        <w:tc>
          <w:tcPr>
            <w:tcW w:w="238" w:type="pct"/>
            <w:shd w:val="clear" w:color="auto" w:fill="FFFFFF"/>
            <w:tcMar>
              <w:top w:w="0" w:type="dxa"/>
              <w:left w:w="108" w:type="dxa"/>
              <w:bottom w:w="0" w:type="dxa"/>
              <w:right w:w="108" w:type="dxa"/>
            </w:tcMa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196" w:type="pct"/>
            <w:gridSpan w:val="2"/>
            <w:shd w:val="clear" w:color="auto" w:fill="FFFFFF"/>
            <w:vAlign w:val="center"/>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20611" w:rsidRPr="00E741FA" w:rsidTr="00F359A8">
        <w:trPr>
          <w:trHeight w:val="525"/>
        </w:trPr>
        <w:tc>
          <w:tcPr>
            <w:tcW w:w="238" w:type="pct"/>
            <w:shd w:val="clear" w:color="auto" w:fill="FFFFFF"/>
            <w:tcMar>
              <w:top w:w="0" w:type="dxa"/>
              <w:left w:w="108" w:type="dxa"/>
              <w:bottom w:w="0" w:type="dxa"/>
              <w:right w:w="108" w:type="dxa"/>
            </w:tcMa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2" w:type="pct"/>
            <w:gridSpan w:val="4"/>
            <w:shd w:val="clear" w:color="auto" w:fill="FFFFFF"/>
            <w:tcMar>
              <w:top w:w="0" w:type="dxa"/>
              <w:left w:w="108" w:type="dxa"/>
              <w:bottom w:w="0" w:type="dxa"/>
              <w:right w:w="108" w:type="dxa"/>
            </w:tcMar>
            <w:vAlign w:val="center"/>
            <w:hideMark/>
          </w:tcPr>
          <w:p w:rsidR="00820611" w:rsidRPr="00E741FA" w:rsidRDefault="00820611" w:rsidP="00F359A8">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________________________</w:t>
            </w:r>
            <w:r w:rsidRPr="00E741FA">
              <w:rPr>
                <w:rFonts w:ascii="Times New Roman" w:eastAsia="Calibri" w:hAnsi="Times New Roman" w:cs="Times New Roman"/>
                <w:lang w:val="uz-Cyrl-UZ"/>
              </w:rPr>
              <w:t xml:space="preserve"> сўм</w:t>
            </w:r>
          </w:p>
        </w:tc>
      </w:tr>
    </w:tbl>
    <w:p w:rsidR="00820611" w:rsidRPr="00E741FA" w:rsidRDefault="00820611" w:rsidP="008206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20611" w:rsidRPr="00E741FA" w:rsidRDefault="00820611" w:rsidP="008206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rsidR="00820611" w:rsidRPr="00E741FA" w:rsidRDefault="00820611" w:rsidP="008206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rsidR="00820611" w:rsidRPr="00E741FA" w:rsidRDefault="00820611" w:rsidP="00820611">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3-ИЛОВА</w:t>
      </w:r>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820611" w:rsidRPr="00E741FA" w:rsidRDefault="00820611" w:rsidP="00820611">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820611" w:rsidRPr="00E741FA" w:rsidRDefault="00820611" w:rsidP="00820611">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343" w:type="dxa"/>
        <w:jc w:val="center"/>
        <w:tblLayout w:type="fixed"/>
        <w:tblLook w:val="04A0" w:firstRow="1" w:lastRow="0" w:firstColumn="1" w:lastColumn="0" w:noHBand="0" w:noVBand="1"/>
      </w:tblPr>
      <w:tblGrid>
        <w:gridCol w:w="640"/>
        <w:gridCol w:w="3324"/>
        <w:gridCol w:w="1276"/>
        <w:gridCol w:w="1276"/>
        <w:gridCol w:w="1276"/>
        <w:gridCol w:w="1275"/>
        <w:gridCol w:w="1276"/>
      </w:tblGrid>
      <w:tr w:rsidR="00820611" w:rsidRPr="00E741FA" w:rsidTr="00F359A8">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820611" w:rsidRPr="00E741FA" w:rsidTr="00F359A8">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820611" w:rsidRPr="00E741FA" w:rsidTr="00F359A8">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Витамин </w:t>
            </w:r>
            <w:proofErr w:type="spellStart"/>
            <w:r w:rsidRPr="00E741FA">
              <w:rPr>
                <w:rFonts w:ascii="Times New Roman" w:hAnsi="Times New Roman" w:cs="Times New Roman"/>
                <w:lang w:val="ru-RU"/>
              </w:rPr>
              <w:t>ва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минераллар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1-навли </w:t>
            </w:r>
            <w:proofErr w:type="spellStart"/>
            <w:r w:rsidRPr="00E741FA">
              <w:rPr>
                <w:rFonts w:ascii="Times New Roman" w:hAnsi="Times New Roman" w:cs="Times New Roman"/>
                <w:lang w:val="ru-RU"/>
              </w:rPr>
              <w:t>буғдой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унидан</w:t>
            </w:r>
            <w:proofErr w:type="spellEnd"/>
            <w:r w:rsidRPr="00E741FA">
              <w:rPr>
                <w:rFonts w:ascii="Times New Roman" w:hAnsi="Times New Roman" w:cs="Times New Roman"/>
                <w:lang w:val="ru-RU"/>
              </w:rPr>
              <w:t xml:space="preserve"> нон</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1-навли </w:t>
            </w:r>
            <w:proofErr w:type="spellStart"/>
            <w:r w:rsidRPr="00E741FA">
              <w:rPr>
                <w:rFonts w:ascii="Times New Roman" w:hAnsi="Times New Roman" w:cs="Times New Roman"/>
              </w:rPr>
              <w:t>буғдой</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уни</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Крахмал</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Ёрмалар</w:t>
            </w:r>
            <w:proofErr w:type="spellEnd"/>
            <w:r w:rsidRPr="00E741FA">
              <w:rPr>
                <w:rFonts w:ascii="Times New Roman" w:hAnsi="Times New Roman" w:cs="Times New Roman"/>
                <w:lang w:val="ru-RU"/>
              </w:rPr>
              <w:t xml:space="preserve">, макарон </w:t>
            </w:r>
            <w:proofErr w:type="spellStart"/>
            <w:r w:rsidRPr="00E741FA">
              <w:rPr>
                <w:rFonts w:ascii="Times New Roman" w:hAnsi="Times New Roman" w:cs="Times New Roman"/>
                <w:lang w:val="ru-RU"/>
              </w:rPr>
              <w:t>маҳсулотлари</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мош</w:t>
            </w:r>
            <w:proofErr w:type="spellEnd"/>
            <w:r w:rsidRPr="00E741FA">
              <w:rPr>
                <w:rFonts w:ascii="Times New Roman" w:hAnsi="Times New Roman" w:cs="Times New Roman"/>
                <w:lang w:val="ru-RU"/>
              </w:rPr>
              <w:t xml:space="preserve"> -5 </w:t>
            </w:r>
            <w:proofErr w:type="spellStart"/>
            <w:r w:rsidRPr="00E741FA">
              <w:rPr>
                <w:rFonts w:ascii="Times New Roman" w:hAnsi="Times New Roman" w:cs="Times New Roman"/>
                <w:lang w:val="ru-RU"/>
              </w:rPr>
              <w:t>гр</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Шакар</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18</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r>
      <w:tr w:rsidR="00820611" w:rsidRPr="00E741FA" w:rsidTr="00F359A8">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Қандолат</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маҳсулотлари</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Сариёғ</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сигир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сутидан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тайёрланган</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Ўсимлик</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мойлари</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2,5–3,2 </w:t>
            </w:r>
            <w:proofErr w:type="spellStart"/>
            <w:r w:rsidRPr="00E741FA">
              <w:rPr>
                <w:rFonts w:ascii="Times New Roman" w:hAnsi="Times New Roman" w:cs="Times New Roman"/>
                <w:lang w:val="ru-RU"/>
              </w:rPr>
              <w:t>фоиз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ёғли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табиий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сигир</w:t>
            </w:r>
            <w:proofErr w:type="spellEnd"/>
            <w:r w:rsidRPr="00E741FA">
              <w:rPr>
                <w:rFonts w:ascii="Times New Roman" w:hAnsi="Times New Roman" w:cs="Times New Roman"/>
                <w:lang w:val="ru-RU"/>
              </w:rPr>
              <w:t xml:space="preserve"> сути</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rPr>
              <w:t>Қатиқ</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90</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15 </w:t>
            </w:r>
            <w:proofErr w:type="spellStart"/>
            <w:r w:rsidRPr="00E741FA">
              <w:rPr>
                <w:rFonts w:ascii="Times New Roman" w:hAnsi="Times New Roman" w:cs="Times New Roman"/>
              </w:rPr>
              <w:t>фоизли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ёғли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сметана</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9 </w:t>
            </w:r>
            <w:proofErr w:type="spellStart"/>
            <w:r w:rsidRPr="00E741FA">
              <w:rPr>
                <w:rFonts w:ascii="Times New Roman" w:hAnsi="Times New Roman" w:cs="Times New Roman"/>
                <w:lang w:val="ru-RU"/>
              </w:rPr>
              <w:t>фоизли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ёғли</w:t>
            </w:r>
            <w:proofErr w:type="spellEnd"/>
            <w:r w:rsidRPr="00E741FA">
              <w:rPr>
                <w:rFonts w:ascii="Times New Roman" w:hAnsi="Times New Roman" w:cs="Times New Roman"/>
                <w:lang w:val="ru-RU"/>
              </w:rPr>
              <w:t xml:space="preserve"> творог, </w:t>
            </w:r>
            <w:proofErr w:type="spellStart"/>
            <w:r w:rsidRPr="00E741FA">
              <w:rPr>
                <w:rFonts w:ascii="Times New Roman" w:hAnsi="Times New Roman" w:cs="Times New Roman"/>
                <w:lang w:val="ru-RU"/>
              </w:rPr>
              <w:t>кислоталиги</w:t>
            </w:r>
            <w:proofErr w:type="spellEnd"/>
            <w:r w:rsidRPr="00E741FA">
              <w:rPr>
                <w:rFonts w:ascii="Times New Roman" w:hAnsi="Times New Roman" w:cs="Times New Roman"/>
                <w:lang w:val="ru-RU"/>
              </w:rPr>
              <w:t xml:space="preserve"> 150 0Т</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Қаттиқ</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турдаги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пишлоқ</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72</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Балиқ</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тухум</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дона</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Картошка</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Сабзавотлар</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помидор </w:t>
            </w:r>
            <w:proofErr w:type="spellStart"/>
            <w:r w:rsidRPr="00E741FA">
              <w:rPr>
                <w:rFonts w:ascii="Times New Roman" w:hAnsi="Times New Roman" w:cs="Times New Roman"/>
                <w:lang w:val="ru-RU"/>
              </w:rPr>
              <w:t>пастаси</w:t>
            </w:r>
            <w:proofErr w:type="spellEnd"/>
            <w:r w:rsidRPr="00E741FA">
              <w:rPr>
                <w:rFonts w:ascii="Times New Roman" w:hAnsi="Times New Roman" w:cs="Times New Roman"/>
                <w:lang w:val="ru-RU"/>
              </w:rPr>
              <w:t xml:space="preserve"> (3 </w:t>
            </w:r>
            <w:proofErr w:type="spellStart"/>
            <w:r w:rsidRPr="00E741FA">
              <w:rPr>
                <w:rFonts w:ascii="Times New Roman" w:hAnsi="Times New Roman" w:cs="Times New Roman"/>
                <w:lang w:val="ru-RU"/>
              </w:rPr>
              <w:t>гр</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янги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узилган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резаворлар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витаминлар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ичимликлар</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lang w:val="ru-RU"/>
              </w:rPr>
              <w:t>Қуруқ</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туршак</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майиз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кўксултон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олма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наматак</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13,5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Чой</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Какао</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Йодланган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ош</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тузи</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2</w:t>
            </w:r>
            <w:r w:rsidRPr="00E741FA">
              <w:rPr>
                <w:rFonts w:ascii="Times New Roman" w:eastAsia="Calibri"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rsidR="00820611" w:rsidRPr="00E741FA" w:rsidRDefault="00820611" w:rsidP="00F359A8">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B85D64" w:rsidTr="00F359A8">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rPr>
                <w:rFonts w:ascii="Times New Roman" w:eastAsia="Calibri" w:hAnsi="Times New Roman" w:cs="Times New Roman"/>
                <w:noProof/>
                <w:lang w:val="ru-RU"/>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lang w:val="ru-RU"/>
              </w:rPr>
            </w:pPr>
          </w:p>
        </w:tc>
      </w:tr>
      <w:tr w:rsidR="00820611" w:rsidRPr="00E741FA" w:rsidTr="00F359A8">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rsidR="00820611" w:rsidRPr="00E741FA" w:rsidRDefault="00820611" w:rsidP="00F359A8">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“__” фоиз</w:t>
            </w:r>
          </w:p>
        </w:tc>
      </w:tr>
      <w:tr w:rsidR="00820611" w:rsidRPr="00E741FA" w:rsidTr="00F359A8">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0611" w:rsidRPr="00E741FA" w:rsidRDefault="00820611" w:rsidP="00F359A8">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611" w:rsidRPr="00E741FA" w:rsidRDefault="00820611" w:rsidP="00F359A8">
            <w:pPr>
              <w:spacing w:after="0" w:line="240" w:lineRule="auto"/>
              <w:jc w:val="center"/>
              <w:rPr>
                <w:rFonts w:ascii="Times New Roman" w:eastAsia="Calibri" w:hAnsi="Times New Roman" w:cs="Times New Roman"/>
                <w:noProof/>
              </w:rPr>
            </w:pPr>
          </w:p>
        </w:tc>
      </w:tr>
    </w:tbl>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BA0A90" w:rsidRDefault="00BA0A90"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BA0A90" w:rsidRDefault="00BA0A90"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BA0A90" w:rsidRDefault="00BA0A90"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______</w:t>
      </w:r>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УЧУНТАОМНОМА ШАКЛИ</w:t>
      </w:r>
    </w:p>
    <w:p w:rsidR="00820611" w:rsidRPr="00E741FA" w:rsidRDefault="00820611" w:rsidP="00820611">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623"/>
        <w:gridCol w:w="1763"/>
        <w:gridCol w:w="352"/>
        <w:gridCol w:w="1293"/>
        <w:gridCol w:w="1406"/>
        <w:gridCol w:w="1158"/>
        <w:gridCol w:w="2690"/>
      </w:tblGrid>
      <w:tr w:rsidR="00820611" w:rsidRPr="00E741FA" w:rsidTr="00F359A8">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rsidR="00820611" w:rsidRPr="00E741FA" w:rsidRDefault="00820611" w:rsidP="00F359A8">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rsidR="00820611" w:rsidRPr="00E741FA" w:rsidRDefault="00820611" w:rsidP="00F359A8">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rsidR="00820611" w:rsidRPr="00E741FA" w:rsidRDefault="00820611" w:rsidP="00F359A8">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w:t>
            </w:r>
            <w:proofErr w:type="spellStart"/>
            <w:r w:rsidRPr="00E741FA">
              <w:rPr>
                <w:rFonts w:ascii="Times New Roman" w:eastAsia="Times New Roman" w:hAnsi="Times New Roman" w:cs="Times New Roman"/>
                <w:lang w:val="ru-RU" w:eastAsia="ru-RU"/>
              </w:rPr>
              <w:t>мактаб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директори</w:t>
            </w:r>
            <w:proofErr w:type="spellEnd"/>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820611" w:rsidRPr="00E741FA" w:rsidTr="00F359A8">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820611" w:rsidRPr="00E741FA" w:rsidTr="00F359A8">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(20___ </w:t>
            </w:r>
            <w:proofErr w:type="spellStart"/>
            <w:r w:rsidRPr="00E741FA">
              <w:rPr>
                <w:rFonts w:ascii="Times New Roman" w:eastAsia="Times New Roman" w:hAnsi="Times New Roman" w:cs="Times New Roman"/>
                <w:lang w:val="ru-RU" w:eastAsia="ru-RU"/>
              </w:rPr>
              <w:t>йил</w:t>
            </w:r>
            <w:proofErr w:type="spellEnd"/>
            <w:r w:rsidRPr="00E741FA">
              <w:rPr>
                <w:rFonts w:ascii="Times New Roman" w:eastAsia="Times New Roman" w:hAnsi="Times New Roman" w:cs="Times New Roman"/>
                <w:lang w:val="ru-RU" w:eastAsia="ru-RU"/>
              </w:rPr>
              <w:t xml:space="preserve"> __________________</w:t>
            </w:r>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____________________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val="ru-RU" w:eastAsia="ru-RU"/>
              </w:rPr>
              <w:t>)</w:t>
            </w:r>
          </w:p>
        </w:tc>
      </w:tr>
      <w:tr w:rsidR="00820611" w:rsidRPr="00E741FA" w:rsidTr="00F359A8">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r>
      <w:tr w:rsidR="00820611" w:rsidRPr="00E741FA" w:rsidTr="00F359A8">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ind w:left="395"/>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w:t>
            </w:r>
            <w:proofErr w:type="spellStart"/>
            <w:r w:rsidRPr="00E741FA">
              <w:rPr>
                <w:rFonts w:ascii="Times New Roman" w:eastAsia="Times New Roman" w:hAnsi="Times New Roman" w:cs="Times New Roman"/>
                <w:lang w:val="ru-RU" w:eastAsia="ru-RU"/>
              </w:rPr>
              <w:t>синфлар</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Ўқувчилар</w:t>
            </w:r>
            <w:proofErr w:type="spellEnd"/>
            <w:r w:rsidRPr="00E741FA">
              <w:rPr>
                <w:rFonts w:ascii="Times New Roman" w:eastAsia="Times New Roman" w:hAnsi="Times New Roman" w:cs="Times New Roman"/>
                <w:lang w:val="ru-RU" w:eastAsia="ru-RU"/>
              </w:rPr>
              <w:t xml:space="preserve"> сони _________ </w:t>
            </w:r>
            <w:proofErr w:type="spellStart"/>
            <w:r w:rsidRPr="00E741FA">
              <w:rPr>
                <w:rFonts w:ascii="Times New Roman" w:eastAsia="Times New Roman" w:hAnsi="Times New Roman" w:cs="Times New Roman"/>
                <w:lang w:val="ru-RU" w:eastAsia="ru-RU"/>
              </w:rPr>
              <w:t>нафар</w:t>
            </w:r>
            <w:proofErr w:type="spellEnd"/>
          </w:p>
        </w:tc>
      </w:tr>
      <w:tr w:rsidR="00820611" w:rsidRPr="00E741FA" w:rsidTr="00F359A8">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820611" w:rsidRPr="00E741FA" w:rsidRDefault="00820611" w:rsidP="00F359A8">
            <w:pPr>
              <w:spacing w:after="0" w:line="240" w:lineRule="auto"/>
              <w:rPr>
                <w:rFonts w:ascii="Times New Roman" w:eastAsia="Times New Roman" w:hAnsi="Times New Roman" w:cs="Times New Roman"/>
                <w:lang w:val="ru-RU" w:eastAsia="ru-RU"/>
              </w:rPr>
            </w:pPr>
          </w:p>
          <w:tbl>
            <w:tblPr>
              <w:tblStyle w:val="3"/>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820611" w:rsidRPr="00E741FA" w:rsidTr="00F359A8">
              <w:trPr>
                <w:trHeight w:val="270"/>
              </w:trPr>
              <w:tc>
                <w:tcPr>
                  <w:tcW w:w="497" w:type="dxa"/>
                  <w:vAlign w:val="center"/>
                </w:tcPr>
                <w:p w:rsidR="00820611" w:rsidRPr="00E741FA" w:rsidRDefault="00820611" w:rsidP="00F359A8">
                  <w:pPr>
                    <w:tabs>
                      <w:tab w:val="left" w:pos="3630"/>
                    </w:tabs>
                    <w:jc w:val="center"/>
                    <w:rPr>
                      <w:rFonts w:eastAsia="Batang"/>
                      <w:b/>
                      <w:sz w:val="16"/>
                      <w:szCs w:val="16"/>
                      <w:lang w:eastAsia="ko-KR"/>
                    </w:rPr>
                  </w:pPr>
                </w:p>
              </w:tc>
              <w:tc>
                <w:tcPr>
                  <w:tcW w:w="1341" w:type="dxa"/>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820611" w:rsidRPr="00E741FA" w:rsidRDefault="00820611" w:rsidP="00F359A8">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 (гр)</w:t>
                  </w:r>
                </w:p>
              </w:tc>
              <w:tc>
                <w:tcPr>
                  <w:tcW w:w="1134" w:type="dxa"/>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eastAsia="ko-KR"/>
                    </w:rPr>
                    <w:t xml:space="preserve"> </w:t>
                  </w:r>
                  <w:r w:rsidRPr="00E741FA">
                    <w:rPr>
                      <w:rFonts w:eastAsia="Batang"/>
                      <w:b/>
                      <w:sz w:val="16"/>
                      <w:szCs w:val="16"/>
                      <w:lang w:val="uz-Cyrl-UZ" w:eastAsia="ko-KR"/>
                    </w:rPr>
                    <w:t>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820611" w:rsidRPr="00E741FA" w:rsidRDefault="00820611" w:rsidP="00F359A8">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820611" w:rsidRPr="00B85D64" w:rsidTr="00F359A8">
              <w:trPr>
                <w:cantSplit/>
                <w:trHeight w:val="1594"/>
              </w:trPr>
              <w:tc>
                <w:tcPr>
                  <w:tcW w:w="497" w:type="dxa"/>
                  <w:textDirection w:val="btLr"/>
                  <w:vAlign w:val="center"/>
                </w:tcPr>
                <w:p w:rsidR="00820611" w:rsidRPr="00E741FA" w:rsidRDefault="00820611" w:rsidP="00F359A8">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820611" w:rsidRPr="00E741FA" w:rsidRDefault="00820611" w:rsidP="00F359A8">
                  <w:pPr>
                    <w:tabs>
                      <w:tab w:val="left" w:pos="3630"/>
                    </w:tabs>
                    <w:jc w:val="center"/>
                    <w:rPr>
                      <w:rFonts w:eastAsia="Batang"/>
                      <w:bCs/>
                      <w:i/>
                      <w:iCs/>
                      <w:sz w:val="16"/>
                      <w:szCs w:val="16"/>
                      <w:lang w:eastAsia="ko-KR"/>
                    </w:rPr>
                  </w:pPr>
                  <w:r w:rsidRPr="00E741FA">
                    <w:rPr>
                      <w:rFonts w:eastAsia="Batang"/>
                      <w:bCs/>
                      <w:i/>
                      <w:iCs/>
                      <w:sz w:val="16"/>
                      <w:szCs w:val="16"/>
                      <w:lang w:val="uz-Cyrl-UZ" w:eastAsia="ko-KR"/>
                    </w:rPr>
                    <w:t>Таом номлари ёзилсин</w:t>
                  </w:r>
                </w:p>
              </w:tc>
              <w:tc>
                <w:tcPr>
                  <w:tcW w:w="992" w:type="dxa"/>
                  <w:vAlign w:val="center"/>
                </w:tcPr>
                <w:p w:rsidR="00820611" w:rsidRPr="00820611" w:rsidRDefault="00820611" w:rsidP="00F359A8">
                  <w:pPr>
                    <w:jc w:val="center"/>
                    <w:rPr>
                      <w:rFonts w:eastAsia="Batang"/>
                      <w:b/>
                      <w:i/>
                      <w:iCs/>
                      <w:sz w:val="16"/>
                      <w:szCs w:val="16"/>
                      <w:lang w:val="ru-RU"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820611" w:rsidRPr="00820611" w:rsidRDefault="00820611" w:rsidP="00F359A8">
                  <w:pPr>
                    <w:tabs>
                      <w:tab w:val="left" w:pos="3630"/>
                    </w:tabs>
                    <w:jc w:val="center"/>
                    <w:rPr>
                      <w:rFonts w:eastAsia="Batang"/>
                      <w:b/>
                      <w:i/>
                      <w:iCs/>
                      <w:sz w:val="16"/>
                      <w:szCs w:val="16"/>
                      <w:lang w:val="ru-RU"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820611" w:rsidRPr="00E741FA" w:rsidRDefault="00820611" w:rsidP="00F359A8">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820611" w:rsidRPr="00E741FA" w:rsidRDefault="00820611" w:rsidP="00F359A8">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820611" w:rsidRPr="00E741FA" w:rsidRDefault="00820611" w:rsidP="00F359A8">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820611" w:rsidRPr="00E741FA" w:rsidRDefault="00820611" w:rsidP="00F359A8">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820611" w:rsidRPr="00E741FA" w:rsidRDefault="00820611" w:rsidP="00F359A8">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820611" w:rsidRPr="00820611" w:rsidRDefault="00820611" w:rsidP="00F359A8">
                  <w:pPr>
                    <w:tabs>
                      <w:tab w:val="left" w:pos="3630"/>
                    </w:tabs>
                    <w:jc w:val="center"/>
                    <w:rPr>
                      <w:rFonts w:eastAsia="Batang"/>
                      <w:b/>
                      <w:i/>
                      <w:iCs/>
                      <w:sz w:val="16"/>
                      <w:szCs w:val="16"/>
                      <w:lang w:val="ru-RU"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820611" w:rsidRPr="00E741FA" w:rsidTr="00F359A8">
              <w:trPr>
                <w:cantSplit/>
                <w:trHeight w:val="1012"/>
              </w:trPr>
              <w:tc>
                <w:tcPr>
                  <w:tcW w:w="497" w:type="dxa"/>
                  <w:textDirection w:val="btLr"/>
                  <w:vAlign w:val="center"/>
                </w:tcPr>
                <w:p w:rsidR="00820611" w:rsidRPr="00E741FA" w:rsidRDefault="00820611" w:rsidP="00F359A8">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820611" w:rsidRPr="00E741FA" w:rsidRDefault="00820611" w:rsidP="00F359A8">
                  <w:pPr>
                    <w:tabs>
                      <w:tab w:val="center" w:pos="380"/>
                      <w:tab w:val="left" w:pos="3630"/>
                    </w:tabs>
                    <w:jc w:val="center"/>
                    <w:rPr>
                      <w:rFonts w:eastAsia="Batang"/>
                      <w:b/>
                      <w:sz w:val="16"/>
                      <w:szCs w:val="16"/>
                      <w:lang w:eastAsia="ko-KR"/>
                    </w:rPr>
                  </w:pPr>
                </w:p>
              </w:tc>
              <w:tc>
                <w:tcPr>
                  <w:tcW w:w="992" w:type="dxa"/>
                  <w:vAlign w:val="center"/>
                </w:tcPr>
                <w:p w:rsidR="00820611" w:rsidRPr="00E741FA" w:rsidRDefault="00820611" w:rsidP="00F359A8">
                  <w:pPr>
                    <w:jc w:val="center"/>
                    <w:rPr>
                      <w:rFonts w:eastAsia="Batang"/>
                      <w:b/>
                      <w:sz w:val="16"/>
                      <w:szCs w:val="16"/>
                      <w:lang w:eastAsia="ko-KR"/>
                    </w:rPr>
                  </w:pPr>
                </w:p>
              </w:tc>
              <w:tc>
                <w:tcPr>
                  <w:tcW w:w="1134" w:type="dxa"/>
                  <w:vAlign w:val="center"/>
                </w:tcPr>
                <w:p w:rsidR="00820611" w:rsidRPr="00E741FA" w:rsidRDefault="00820611" w:rsidP="00F359A8">
                  <w:pPr>
                    <w:tabs>
                      <w:tab w:val="left" w:pos="3630"/>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c>
                <w:tcPr>
                  <w:tcW w:w="1134" w:type="dxa"/>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884"/>
                      <w:tab w:val="left" w:pos="3630"/>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r>
            <w:tr w:rsidR="00820611" w:rsidRPr="00E741FA" w:rsidTr="00F359A8">
              <w:trPr>
                <w:cantSplit/>
                <w:trHeight w:val="841"/>
              </w:trPr>
              <w:tc>
                <w:tcPr>
                  <w:tcW w:w="497" w:type="dxa"/>
                  <w:textDirection w:val="btLr"/>
                  <w:vAlign w:val="center"/>
                </w:tcPr>
                <w:p w:rsidR="00820611" w:rsidRPr="00E741FA" w:rsidRDefault="00820611" w:rsidP="00F359A8">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center" w:pos="380"/>
                      <w:tab w:val="left" w:pos="3630"/>
                    </w:tabs>
                    <w:jc w:val="center"/>
                    <w:rPr>
                      <w:rFonts w:eastAsia="Batang"/>
                      <w:b/>
                      <w:sz w:val="16"/>
                      <w:szCs w:val="16"/>
                      <w:lang w:eastAsia="ko-KR"/>
                    </w:rPr>
                  </w:pPr>
                </w:p>
              </w:tc>
              <w:tc>
                <w:tcPr>
                  <w:tcW w:w="1134" w:type="dxa"/>
                  <w:vAlign w:val="center"/>
                </w:tcPr>
                <w:p w:rsidR="00820611" w:rsidRPr="00E741FA" w:rsidRDefault="00820611" w:rsidP="00F359A8">
                  <w:pPr>
                    <w:tabs>
                      <w:tab w:val="left" w:pos="3630"/>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c>
                <w:tcPr>
                  <w:tcW w:w="1134" w:type="dxa"/>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center" w:pos="1294"/>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r>
            <w:tr w:rsidR="00820611" w:rsidRPr="00E741FA" w:rsidTr="00F359A8">
              <w:trPr>
                <w:cantSplit/>
                <w:trHeight w:val="995"/>
              </w:trPr>
              <w:tc>
                <w:tcPr>
                  <w:tcW w:w="497" w:type="dxa"/>
                  <w:textDirection w:val="btLr"/>
                  <w:vAlign w:val="center"/>
                </w:tcPr>
                <w:p w:rsidR="00820611" w:rsidRPr="00E741FA" w:rsidRDefault="00820611" w:rsidP="00F359A8">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820611" w:rsidRPr="00E741FA" w:rsidRDefault="00820611" w:rsidP="00F359A8">
                  <w:pPr>
                    <w:jc w:val="center"/>
                    <w:rPr>
                      <w:rFonts w:eastAsia="Batang"/>
                      <w:sz w:val="16"/>
                      <w:szCs w:val="16"/>
                      <w:lang w:eastAsia="ko-KR"/>
                    </w:rPr>
                  </w:pPr>
                </w:p>
              </w:tc>
              <w:tc>
                <w:tcPr>
                  <w:tcW w:w="992" w:type="dxa"/>
                  <w:vAlign w:val="center"/>
                </w:tcPr>
                <w:p w:rsidR="00820611" w:rsidRPr="00E741FA" w:rsidRDefault="00820611" w:rsidP="00F359A8">
                  <w:pPr>
                    <w:jc w:val="center"/>
                    <w:rPr>
                      <w:rFonts w:eastAsia="Batang"/>
                      <w:sz w:val="16"/>
                      <w:szCs w:val="16"/>
                      <w:lang w:eastAsia="ko-KR"/>
                    </w:rPr>
                  </w:pPr>
                </w:p>
              </w:tc>
              <w:tc>
                <w:tcPr>
                  <w:tcW w:w="1134" w:type="dxa"/>
                  <w:vAlign w:val="center"/>
                </w:tcPr>
                <w:p w:rsidR="00820611" w:rsidRPr="00E741FA" w:rsidRDefault="00820611" w:rsidP="00F359A8">
                  <w:pPr>
                    <w:tabs>
                      <w:tab w:val="left" w:pos="884"/>
                      <w:tab w:val="left" w:pos="3630"/>
                    </w:tabs>
                    <w:jc w:val="center"/>
                    <w:rPr>
                      <w:rFonts w:eastAsia="Batang"/>
                      <w:b/>
                      <w:sz w:val="16"/>
                      <w:szCs w:val="16"/>
                      <w:lang w:eastAsia="ko-KR"/>
                    </w:rPr>
                  </w:pPr>
                </w:p>
              </w:tc>
              <w:tc>
                <w:tcPr>
                  <w:tcW w:w="993" w:type="dxa"/>
                  <w:vAlign w:val="center"/>
                </w:tcPr>
                <w:p w:rsidR="00820611" w:rsidRPr="00E741FA" w:rsidRDefault="00820611" w:rsidP="00F359A8">
                  <w:pPr>
                    <w:tabs>
                      <w:tab w:val="left" w:pos="884"/>
                      <w:tab w:val="left" w:pos="3630"/>
                    </w:tabs>
                    <w:jc w:val="center"/>
                    <w:rPr>
                      <w:rFonts w:eastAsia="Batang"/>
                      <w:b/>
                      <w:sz w:val="16"/>
                      <w:szCs w:val="16"/>
                      <w:lang w:eastAsia="ko-KR"/>
                    </w:rPr>
                  </w:pPr>
                </w:p>
              </w:tc>
              <w:tc>
                <w:tcPr>
                  <w:tcW w:w="1134" w:type="dxa"/>
                </w:tcPr>
                <w:p w:rsidR="00820611" w:rsidRPr="00E741FA" w:rsidRDefault="00820611" w:rsidP="00F359A8">
                  <w:pPr>
                    <w:tabs>
                      <w:tab w:val="left" w:pos="884"/>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884"/>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884"/>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884"/>
                      <w:tab w:val="left" w:pos="3630"/>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r>
            <w:tr w:rsidR="00820611" w:rsidRPr="00E741FA" w:rsidTr="00F359A8">
              <w:trPr>
                <w:cantSplit/>
                <w:trHeight w:val="982"/>
              </w:trPr>
              <w:tc>
                <w:tcPr>
                  <w:tcW w:w="497" w:type="dxa"/>
                  <w:textDirection w:val="btLr"/>
                  <w:vAlign w:val="center"/>
                </w:tcPr>
                <w:p w:rsidR="00820611" w:rsidRPr="00E741FA" w:rsidRDefault="00820611" w:rsidP="00F359A8">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jc w:val="center"/>
                    <w:rPr>
                      <w:rFonts w:eastAsia="Batang"/>
                      <w:b/>
                      <w:sz w:val="16"/>
                      <w:szCs w:val="16"/>
                      <w:lang w:eastAsia="ko-KR"/>
                    </w:rPr>
                  </w:pPr>
                </w:p>
              </w:tc>
              <w:tc>
                <w:tcPr>
                  <w:tcW w:w="1134" w:type="dxa"/>
                  <w:vAlign w:val="center"/>
                </w:tcPr>
                <w:p w:rsidR="00820611" w:rsidRPr="00E741FA" w:rsidRDefault="00820611" w:rsidP="00F359A8">
                  <w:pPr>
                    <w:tabs>
                      <w:tab w:val="left" w:pos="3630"/>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c>
                <w:tcPr>
                  <w:tcW w:w="1134" w:type="dxa"/>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left" w:pos="3630"/>
                    </w:tabs>
                    <w:jc w:val="center"/>
                    <w:rPr>
                      <w:rFonts w:eastAsia="Batang"/>
                      <w:b/>
                      <w:sz w:val="16"/>
                      <w:szCs w:val="16"/>
                      <w:lang w:eastAsia="ko-KR"/>
                    </w:rPr>
                  </w:pPr>
                </w:p>
              </w:tc>
              <w:tc>
                <w:tcPr>
                  <w:tcW w:w="992" w:type="dxa"/>
                  <w:vAlign w:val="center"/>
                </w:tcPr>
                <w:p w:rsidR="00820611" w:rsidRPr="00E741FA" w:rsidRDefault="00820611" w:rsidP="00F359A8">
                  <w:pPr>
                    <w:tabs>
                      <w:tab w:val="center" w:pos="1294"/>
                    </w:tabs>
                    <w:jc w:val="center"/>
                    <w:rPr>
                      <w:rFonts w:eastAsia="Batang"/>
                      <w:b/>
                      <w:sz w:val="16"/>
                      <w:szCs w:val="16"/>
                      <w:lang w:eastAsia="ko-KR"/>
                    </w:rPr>
                  </w:pPr>
                </w:p>
              </w:tc>
              <w:tc>
                <w:tcPr>
                  <w:tcW w:w="993" w:type="dxa"/>
                  <w:vAlign w:val="center"/>
                </w:tcPr>
                <w:p w:rsidR="00820611" w:rsidRPr="00E741FA" w:rsidRDefault="00820611" w:rsidP="00F359A8">
                  <w:pPr>
                    <w:tabs>
                      <w:tab w:val="left" w:pos="3630"/>
                    </w:tabs>
                    <w:jc w:val="center"/>
                    <w:rPr>
                      <w:rFonts w:eastAsia="Batang"/>
                      <w:b/>
                      <w:sz w:val="16"/>
                      <w:szCs w:val="16"/>
                      <w:lang w:eastAsia="ko-KR"/>
                    </w:rPr>
                  </w:pPr>
                </w:p>
              </w:tc>
            </w:tr>
            <w:tr w:rsidR="00820611" w:rsidRPr="00E741FA" w:rsidTr="00F359A8">
              <w:trPr>
                <w:cantSplit/>
                <w:trHeight w:val="561"/>
              </w:trPr>
              <w:tc>
                <w:tcPr>
                  <w:tcW w:w="497" w:type="dxa"/>
                  <w:textDirection w:val="btLr"/>
                  <w:vAlign w:val="center"/>
                </w:tcPr>
                <w:p w:rsidR="00820611" w:rsidRPr="00E741FA" w:rsidRDefault="00820611" w:rsidP="00F359A8">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820611" w:rsidRPr="00E741FA" w:rsidRDefault="00820611" w:rsidP="00F359A8">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820611" w:rsidRPr="00E741FA" w:rsidRDefault="00820611" w:rsidP="00F359A8">
                  <w:pPr>
                    <w:tabs>
                      <w:tab w:val="left" w:pos="3630"/>
                    </w:tabs>
                    <w:jc w:val="center"/>
                    <w:rPr>
                      <w:rFonts w:eastAsia="Batang"/>
                      <w:b/>
                      <w:sz w:val="16"/>
                      <w:szCs w:val="16"/>
                      <w:lang w:val="uz-Cyrl-UZ" w:eastAsia="ko-KR"/>
                    </w:rPr>
                  </w:pPr>
                </w:p>
              </w:tc>
              <w:tc>
                <w:tcPr>
                  <w:tcW w:w="992" w:type="dxa"/>
                  <w:vAlign w:val="center"/>
                </w:tcPr>
                <w:p w:rsidR="00820611" w:rsidRPr="00E741FA" w:rsidRDefault="00820611" w:rsidP="00F359A8">
                  <w:pPr>
                    <w:tabs>
                      <w:tab w:val="left" w:pos="3630"/>
                    </w:tabs>
                    <w:jc w:val="center"/>
                    <w:rPr>
                      <w:rFonts w:eastAsia="Batang"/>
                      <w:b/>
                      <w:sz w:val="16"/>
                      <w:szCs w:val="16"/>
                      <w:lang w:val="uz-Cyrl-UZ" w:eastAsia="ko-KR"/>
                    </w:rPr>
                  </w:pPr>
                </w:p>
              </w:tc>
              <w:tc>
                <w:tcPr>
                  <w:tcW w:w="992" w:type="dxa"/>
                  <w:vAlign w:val="center"/>
                </w:tcPr>
                <w:p w:rsidR="00820611" w:rsidRPr="00E741FA" w:rsidRDefault="00820611" w:rsidP="00F359A8">
                  <w:pPr>
                    <w:tabs>
                      <w:tab w:val="left" w:pos="3630"/>
                    </w:tabs>
                    <w:jc w:val="center"/>
                    <w:rPr>
                      <w:rFonts w:eastAsia="Batang"/>
                      <w:b/>
                      <w:sz w:val="16"/>
                      <w:szCs w:val="16"/>
                      <w:lang w:val="uz-Cyrl-UZ" w:eastAsia="ko-KR"/>
                    </w:rPr>
                  </w:pPr>
                </w:p>
              </w:tc>
              <w:tc>
                <w:tcPr>
                  <w:tcW w:w="992" w:type="dxa"/>
                  <w:vAlign w:val="center"/>
                </w:tcPr>
                <w:p w:rsidR="00820611" w:rsidRPr="00E741FA" w:rsidRDefault="00820611" w:rsidP="00F359A8">
                  <w:pPr>
                    <w:tabs>
                      <w:tab w:val="center" w:pos="1294"/>
                    </w:tabs>
                    <w:jc w:val="center"/>
                    <w:rPr>
                      <w:rFonts w:eastAsia="Batang"/>
                      <w:b/>
                      <w:sz w:val="16"/>
                      <w:szCs w:val="16"/>
                      <w:lang w:val="uz-Cyrl-UZ" w:eastAsia="ko-KR"/>
                    </w:rPr>
                  </w:pPr>
                </w:p>
              </w:tc>
              <w:tc>
                <w:tcPr>
                  <w:tcW w:w="993" w:type="dxa"/>
                  <w:vAlign w:val="center"/>
                </w:tcPr>
                <w:p w:rsidR="00820611" w:rsidRPr="00E741FA" w:rsidRDefault="00820611" w:rsidP="00F359A8">
                  <w:pPr>
                    <w:tabs>
                      <w:tab w:val="left" w:pos="3630"/>
                    </w:tabs>
                    <w:jc w:val="center"/>
                    <w:rPr>
                      <w:rFonts w:eastAsia="Batang"/>
                      <w:bCs/>
                      <w:i/>
                      <w:iCs/>
                      <w:sz w:val="16"/>
                      <w:szCs w:val="16"/>
                      <w:lang w:val="uz-Cyrl-UZ" w:eastAsia="ko-KR"/>
                    </w:rPr>
                  </w:pPr>
                </w:p>
              </w:tc>
            </w:tr>
          </w:tbl>
          <w:p w:rsidR="00820611" w:rsidRPr="00E741FA" w:rsidRDefault="00820611" w:rsidP="00F359A8">
            <w:pPr>
              <w:spacing w:after="0" w:line="240" w:lineRule="auto"/>
              <w:rPr>
                <w:rFonts w:ascii="Times New Roman" w:eastAsia="Times New Roman" w:hAnsi="Times New Roman" w:cs="Times New Roman"/>
                <w:lang w:val="ru-RU" w:eastAsia="ru-RU"/>
              </w:rPr>
            </w:pPr>
          </w:p>
        </w:tc>
      </w:tr>
      <w:tr w:rsidR="00820611" w:rsidRPr="00E741FA" w:rsidTr="00F359A8">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rPr>
                <w:rFonts w:ascii="Times New Roman" w:eastAsia="Times New Roman" w:hAnsi="Times New Roman" w:cs="Times New Roman"/>
                <w:lang w:eastAsia="ru-RU"/>
              </w:rPr>
            </w:pPr>
            <w:proofErr w:type="spellStart"/>
            <w:r w:rsidRPr="00E741FA">
              <w:rPr>
                <w:rFonts w:ascii="Times New Roman" w:eastAsia="Times New Roman" w:hAnsi="Times New Roman" w:cs="Times New Roman"/>
                <w:lang w:val="ru-RU" w:eastAsia="ru-RU"/>
              </w:rPr>
              <w:t>Бир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нафар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ўқувчи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сарфланган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маблағ</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миқдори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устама</w:t>
            </w:r>
            <w:proofErr w:type="spellEnd"/>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820611" w:rsidRPr="00E741FA" w:rsidTr="00F359A8">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rPr>
                <w:rFonts w:ascii="Times New Roman" w:eastAsia="Times New Roman" w:hAnsi="Times New Roman" w:cs="Times New Roman"/>
                <w:lang w:eastAsia="ru-RU"/>
              </w:rPr>
            </w:pPr>
          </w:p>
        </w:tc>
      </w:tr>
      <w:tr w:rsidR="00820611" w:rsidRPr="00E741FA" w:rsidTr="00F359A8">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proofErr w:type="spellStart"/>
            <w:r w:rsidRPr="00E741FA">
              <w:rPr>
                <w:rFonts w:ascii="Times New Roman" w:eastAsia="Times New Roman" w:hAnsi="Times New Roman" w:cs="Times New Roman"/>
                <w:i/>
                <w:iCs/>
                <w:lang w:val="ru-RU" w:eastAsia="ru-RU"/>
              </w:rPr>
              <w:t>тоқхона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мавжуд</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муассасаларида</w:t>
            </w:r>
            <w:proofErr w:type="spellEnd"/>
            <w:r w:rsidRPr="00E741FA">
              <w:rPr>
                <w:rFonts w:ascii="Times New Roman" w:eastAsia="Times New Roman" w:hAnsi="Times New Roman" w:cs="Times New Roman"/>
                <w:i/>
                <w:iCs/>
                <w:lang w:eastAsia="ru-RU"/>
              </w:rPr>
              <w:t xml:space="preserve"> 5</w:t>
            </w:r>
            <w:proofErr w:type="spellStart"/>
            <w:r w:rsidRPr="00E741FA">
              <w:rPr>
                <w:rFonts w:ascii="Times New Roman" w:eastAsia="Times New Roman" w:hAnsi="Times New Roman" w:cs="Times New Roman"/>
                <w:i/>
                <w:iCs/>
                <w:lang w:val="ru-RU" w:eastAsia="ru-RU"/>
              </w:rPr>
              <w:t>маҳал</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таомланадиган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муассасаларига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нисбатан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татбиқ</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этилади</w:t>
            </w:r>
            <w:proofErr w:type="spellEnd"/>
            <w:r w:rsidRPr="00E741FA">
              <w:rPr>
                <w:rFonts w:ascii="Times New Roman" w:eastAsia="Times New Roman" w:hAnsi="Times New Roman" w:cs="Times New Roman"/>
                <w:i/>
                <w:iCs/>
                <w:lang w:eastAsia="ru-RU"/>
              </w:rPr>
              <w:t>.</w:t>
            </w:r>
          </w:p>
          <w:p w:rsidR="00820611" w:rsidRPr="00E741FA" w:rsidRDefault="00820611" w:rsidP="00F359A8">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Маҳаллий</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ҳокимият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томонидан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тасдиқланган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озиқ</w:t>
            </w:r>
            <w:proofErr w:type="spellEnd"/>
            <w:r w:rsidRPr="00E741FA">
              <w:rPr>
                <w:rFonts w:ascii="Times New Roman" w:eastAsia="Times New Roman" w:hAnsi="Times New Roman" w:cs="Times New Roman"/>
                <w:i/>
                <w:iCs/>
                <w:lang w:eastAsia="ru-RU"/>
              </w:rPr>
              <w:t>-</w:t>
            </w:r>
            <w:proofErr w:type="spellStart"/>
            <w:r w:rsidRPr="00E741FA">
              <w:rPr>
                <w:rFonts w:ascii="Times New Roman" w:eastAsia="Times New Roman" w:hAnsi="Times New Roman" w:cs="Times New Roman"/>
                <w:i/>
                <w:iCs/>
                <w:lang w:val="ru-RU" w:eastAsia="ru-RU"/>
              </w:rPr>
              <w:t>овқат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маҳсулотлари</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нархидан</w:t>
            </w:r>
            <w:proofErr w:type="spellEnd"/>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uz-Cyrl-UZ" w:eastAsia="ru-RU"/>
              </w:rPr>
              <w:t>келиб чиқиб белгиланади</w:t>
            </w:r>
          </w:p>
        </w:tc>
      </w:tr>
      <w:tr w:rsidR="00820611" w:rsidRPr="00E741FA" w:rsidTr="00F359A8">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rPr>
                <w:rFonts w:ascii="Times New Roman" w:eastAsia="Times New Roman" w:hAnsi="Times New Roman" w:cs="Times New Roman"/>
                <w:sz w:val="16"/>
                <w:szCs w:val="16"/>
                <w:lang w:eastAsia="ru-RU"/>
              </w:rPr>
            </w:pPr>
          </w:p>
        </w:tc>
      </w:tr>
      <w:tr w:rsidR="00820611" w:rsidRPr="00E741FA" w:rsidTr="00F359A8">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820611" w:rsidRPr="00E741FA" w:rsidTr="00F359A8">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240" w:line="240" w:lineRule="auto"/>
              <w:ind w:firstLine="253"/>
              <w:jc w:val="center"/>
              <w:rPr>
                <w:rFonts w:ascii="Times New Roman" w:eastAsia="Times New Roman" w:hAnsi="Times New Roman" w:cs="Times New Roman"/>
                <w:sz w:val="2"/>
                <w:szCs w:val="2"/>
                <w:lang w:val="ru-RU" w:eastAsia="ru-RU"/>
              </w:rPr>
            </w:pPr>
          </w:p>
        </w:tc>
      </w:tr>
      <w:tr w:rsidR="00820611" w:rsidRPr="00E741FA" w:rsidTr="00F359A8">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Мактаб</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20611" w:rsidRPr="00E741FA" w:rsidRDefault="00820611" w:rsidP="00F359A8">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rsidR="00EC1B15" w:rsidRDefault="00EC1B15"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EC1B15" w:rsidRDefault="00EC1B15"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EC1B15" w:rsidRDefault="00EC1B15"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bookmarkStart w:id="4" w:name="_GoBack"/>
      <w:bookmarkEnd w:id="4"/>
    </w:p>
    <w:p w:rsidR="00EC1B15" w:rsidRDefault="00EC1B15"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EC1B15" w:rsidRDefault="00EC1B15"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____-сон </w:t>
      </w:r>
      <w:proofErr w:type="spellStart"/>
      <w:r w:rsidRPr="00E741FA">
        <w:rPr>
          <w:rFonts w:ascii="Times New Roman" w:eastAsia="Calibri" w:hAnsi="Times New Roman" w:cs="Times New Roman"/>
          <w:sz w:val="24"/>
          <w:szCs w:val="24"/>
          <w:lang w:val="ru-RU"/>
        </w:rPr>
        <w:t>Шартномага</w:t>
      </w:r>
      <w:proofErr w:type="spellEnd"/>
    </w:p>
    <w:p w:rsidR="00820611" w:rsidRPr="00E741FA" w:rsidRDefault="00820611" w:rsidP="00820611">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5-ИЛОВА</w:t>
      </w: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20611" w:rsidRPr="00E741FA" w:rsidRDefault="00820611" w:rsidP="00820611">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rsidR="00820611" w:rsidRPr="00E741FA" w:rsidRDefault="00820611" w:rsidP="00820611">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rsidR="00820611" w:rsidRPr="00E741FA" w:rsidRDefault="00820611" w:rsidP="00820611">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77"/>
        <w:gridCol w:w="1493"/>
        <w:gridCol w:w="1668"/>
        <w:gridCol w:w="1470"/>
        <w:gridCol w:w="1438"/>
        <w:gridCol w:w="1149"/>
        <w:gridCol w:w="1581"/>
        <w:gridCol w:w="767"/>
      </w:tblGrid>
      <w:tr w:rsidR="00820611" w:rsidRPr="00E741FA" w:rsidTr="00F359A8">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Т/р</w:t>
            </w:r>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юридик</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шахснинг</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0611" w:rsidRPr="00E741FA" w:rsidRDefault="00820611" w:rsidP="00F359A8">
            <w:pPr>
              <w:spacing w:after="0" w:line="240" w:lineRule="auto"/>
              <w:ind w:left="-105" w:right="-119"/>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Юкхати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рақами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олиб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келинган</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0611" w:rsidRPr="00E741FA" w:rsidRDefault="00820611" w:rsidP="00F359A8">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миқдори</w:t>
            </w:r>
            <w:proofErr w:type="spellEnd"/>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ҳақида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Ишлатиш</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муддатининг</w:t>
            </w:r>
            <w:proofErr w:type="spellEnd"/>
            <w:r w:rsidRPr="00E741FA">
              <w:rPr>
                <w:rFonts w:ascii="Times New Roman" w:eastAsia="Times New Roman" w:hAnsi="Times New Roman" w:cs="Times New Roman"/>
                <w:lang w:val="uz-Cyrl-UZ" w:eastAsia="ru-RU"/>
              </w:rPr>
              <w:t xml:space="preserve"> </w:t>
            </w:r>
            <w:proofErr w:type="spellStart"/>
            <w:r w:rsidRPr="00E741FA">
              <w:rPr>
                <w:rFonts w:ascii="Times New Roman" w:eastAsia="Times New Roman" w:hAnsi="Times New Roman" w:cs="Times New Roman"/>
                <w:lang w:val="ru-RU" w:eastAsia="ru-RU"/>
              </w:rPr>
              <w:t>охирги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санаси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вақти</w:t>
            </w:r>
            <w:proofErr w:type="spellEnd"/>
          </w:p>
        </w:tc>
        <w:tc>
          <w:tcPr>
            <w:tcW w:w="3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820611" w:rsidRPr="00E741FA" w:rsidTr="00F359A8">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r>
      <w:tr w:rsidR="00820611" w:rsidRPr="00E741FA" w:rsidTr="00F359A8">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r>
      <w:tr w:rsidR="00820611" w:rsidRPr="00E741FA" w:rsidTr="00F359A8">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r>
      <w:tr w:rsidR="00820611" w:rsidRPr="00E741FA" w:rsidTr="00F359A8">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r>
      <w:tr w:rsidR="00820611" w:rsidRPr="00E741FA" w:rsidTr="00F359A8">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r>
      <w:tr w:rsidR="00820611" w:rsidRPr="00E741FA" w:rsidTr="00F359A8">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20611" w:rsidRPr="00E741FA" w:rsidRDefault="00820611" w:rsidP="00F359A8">
            <w:pPr>
              <w:spacing w:beforeAutospacing="1" w:after="0" w:afterAutospacing="1" w:line="240" w:lineRule="auto"/>
              <w:rPr>
                <w:rFonts w:ascii="Times New Roman" w:eastAsia="Times New Roman" w:hAnsi="Times New Roman" w:cs="Times New Roman"/>
                <w:lang w:val="ru-RU" w:eastAsia="ru-RU"/>
              </w:rPr>
            </w:pPr>
          </w:p>
        </w:tc>
      </w:tr>
    </w:tbl>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20611" w:rsidRPr="00E741FA" w:rsidRDefault="00820611" w:rsidP="00820611">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2F18F1" w:rsidRDefault="002F18F1"/>
    <w:sectPr w:rsidR="002F18F1" w:rsidSect="00BA21B0">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A1"/>
    <w:rsid w:val="002F18F1"/>
    <w:rsid w:val="00682463"/>
    <w:rsid w:val="00820611"/>
    <w:rsid w:val="00BA0A90"/>
    <w:rsid w:val="00BA21B0"/>
    <w:rsid w:val="00BF09A1"/>
    <w:rsid w:val="00EC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7DF1E-A625-44F8-88AF-AD710149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1B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8206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820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4292526)" TargetMode="External"/><Relationship Id="rId5" Type="http://schemas.openxmlformats.org/officeDocument/2006/relationships/hyperlink" Target="javascript:scrollText(42925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3150</Words>
  <Characters>17955</Characters>
  <Application>Microsoft Office Word</Application>
  <DocSecurity>0</DocSecurity>
  <Lines>149</Lines>
  <Paragraphs>42</Paragraphs>
  <ScaleCrop>false</ScaleCrop>
  <Company>SPecialiST RePack</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SIROJIDDIN</dc:creator>
  <cp:keywords/>
  <dc:description/>
  <cp:lastModifiedBy>SIROJIDDIN</cp:lastModifiedBy>
  <cp:revision>5</cp:revision>
  <dcterms:created xsi:type="dcterms:W3CDTF">2022-10-25T07:03:00Z</dcterms:created>
  <dcterms:modified xsi:type="dcterms:W3CDTF">2022-10-25T07:06:00Z</dcterms:modified>
</cp:coreProperties>
</file>