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E3" w:rsidRPr="003D5AE3" w:rsidRDefault="003D5AE3" w:rsidP="003D5AE3">
      <w:pPr>
        <w:shd w:val="clear" w:color="auto" w:fill="FFFFFF"/>
        <w:spacing w:before="11" w:after="1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МАҲСУЛОТ ЕТКАЗИБ БЕРИШ ШАРТНОМАСИ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тузилган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тузилган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ҳудуд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берувчи-сотувчи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аталадиган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масъул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маъсул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орқали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аталадиган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қуйидагилар тўғрисида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предмети</w:t>
      </w:r>
      <w:proofErr w:type="spellEnd"/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номланувчи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чиқарилган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чиқарилган, Қоплар сони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қопда, ҳар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қопи Қоп сиғими,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хажми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килограмм оғирликда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тузилаётган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ҳисобланади.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Маҳсулотнинг яроқлилик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Маҳсулотнинг яроқлик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ой. Яроқлилик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чиқарилган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бошлайди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килограмм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Маҳсулотнинг 1 кг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Маҳсулотнинг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қиймати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марталик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ҳаражати (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ҳақи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берилганлиги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берилганлиги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 тасдиқловчи ҳужжат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тасдиқланади.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тартиби</w:t>
      </w:r>
      <w:proofErr w:type="spellEnd"/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жўнатиш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разнарядкаси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орқали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ўнатиш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разнарядкасининг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қилинади.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фақат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қарашли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автомашинада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қопларда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келиниб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қоплар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қайтарилмайди.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айрим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 тўлиқ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берувчи-сотувчи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доирасидаги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даврларда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тўлдириши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қабул қилишни рад </w:t>
      </w:r>
      <w:proofErr w:type="spellStart"/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ҳақли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мувофиқ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қабул қилинишини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таъминлайдиган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ҳаракатларни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дарҳол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кўздан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боғли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аниқланган тақдирда,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берувчи-сотувчини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зудлик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тарафларининг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ҳуқ</w:t>
      </w:r>
      <w:proofErr w:type="gram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қ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мажбуриятлари</w:t>
      </w:r>
      <w:proofErr w:type="spellEnd"/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Сотувчининг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ҳуқ</w:t>
      </w:r>
      <w:proofErr w:type="gram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қлари: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қабул қилиб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тўлиқ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қопланишини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 ҳужжатларида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асосларсиз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берувчи-сотувчидан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қабул қилиб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ҳолларда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берувчи-сотувчи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қилишга ҳақли.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Сотувчининг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мажбуриятлари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қилиб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миқдордаги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 қандай ҳуқ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қларидан ҳоли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топширгунга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қадар сақлаш.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олувчининг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ҳуқ</w:t>
      </w:r>
      <w:proofErr w:type="gram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қлари: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олаётган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қилиб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миқдордаги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ҳуқ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қларидан ҳоли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олувчининг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мажбуриятлари</w:t>
      </w:r>
      <w:proofErr w:type="spellEnd"/>
      <w:r w:rsidRPr="003D5A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қабул қилиб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тўлиқ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қоплаш.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идиши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ўралиши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бузилганлиги</w:t>
      </w:r>
      <w:proofErr w:type="spellEnd"/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бўйича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жавобгарлик</w:t>
      </w:r>
      <w:proofErr w:type="spellEnd"/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дарҳол товар тўғрисидаги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кўздан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хоссаларини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 ҳуқ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таъминланмаган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чакана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олди-сотди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тузишдан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асоссиз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тортилгани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қилишга,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оқилона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тортишга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қайтаришни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қоплашни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илишга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ҳақли.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тўғрисида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топширилганидан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ҳам,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исботласа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идишсиз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идишга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жойлаштириш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қўйиш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ўрнига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4.3-банди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биринчи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қисмидаги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йишга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ҳақли.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уқаролик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434-моддасига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сотилганида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пайтида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қилинмаган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хоҳишига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тегишинча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қайта ҳисоблаган ҳолда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артикулдаги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текинга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қилинган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қопланишини;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мутаносиб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камайтиришни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ўрнини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қоплаган ҳолда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қилинишини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 ҳуқ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қига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қайтариш вақтда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тўлиқ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қисман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фойдаланганлиги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кўриниши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йўқолганлиги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ўхшаш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ҳолатлар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қиймати қанча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пасайган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шунча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олишга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ҳақли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неустойка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қилмайди. 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идиши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ўралиши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тўғрисидаги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бузилганлиги</w:t>
      </w:r>
      <w:proofErr w:type="spellEnd"/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эътироз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қилмаса,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бузилганлиги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чиқадиган оқибатлар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тўлиқ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бермаганлик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юборганлик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неустойка пеня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ундирилади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Бунда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 ҳар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 % миқдорида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бажарилгунига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қадар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ундирилади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(тўлиқ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қисман) бош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тортишга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жидддий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қўйилади.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қуйидаги ҳолларда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жиддий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топилади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мақ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қилиб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бошқа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қисман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тарафлама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қилинган ҳисобланади.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ҳолатлар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Маҳсулот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берувчи-сотувчи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форс-мажор ҳолатлар (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тўсқинлик қилувчи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таъсири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товар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етказилаётган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пайтда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содир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тасодифий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шикастланиш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сотиб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олувчи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эгалигида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ҳолатга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ҳолатлар)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юзага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келадиган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оқибатлар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3D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AE3" w:rsidRPr="003D5AE3" w:rsidRDefault="003D5AE3" w:rsidP="003D5AE3">
      <w:pPr>
        <w:shd w:val="clear" w:color="auto" w:fill="FFFFFF"/>
        <w:spacing w:before="11" w:after="11" w:line="240" w:lineRule="auto"/>
        <w:ind w:firstLine="774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</w:t>
      </w:r>
      <w:proofErr w:type="spellEnd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D5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реквизитлари</w:t>
      </w:r>
      <w:proofErr w:type="spellEnd"/>
    </w:p>
    <w:tbl>
      <w:tblPr>
        <w:tblW w:w="4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2466"/>
      </w:tblGrid>
      <w:tr w:rsidR="003D5AE3" w:rsidRPr="003D5AE3" w:rsidTr="003D5AE3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D5AE3" w:rsidRDefault="003D5AE3"/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D5AE3" w:rsidRDefault="003D5AE3"/>
        </w:tc>
      </w:tr>
    </w:tbl>
    <w:p w:rsidR="00E43EB8" w:rsidRPr="00E43EB8" w:rsidRDefault="00E43EB8" w:rsidP="00E43EB8">
      <w:pPr>
        <w:rPr>
          <w:sz w:val="24"/>
          <w:szCs w:val="24"/>
        </w:rPr>
      </w:pPr>
      <w:r w:rsidRPr="00E43EB8">
        <w:rPr>
          <w:b/>
          <w:bCs/>
          <w:color w:val="000000"/>
          <w:sz w:val="24"/>
          <w:szCs w:val="24"/>
          <w:shd w:val="clear" w:color="auto" w:fill="FFFFFF"/>
        </w:rPr>
        <w:t xml:space="preserve">Маҳсулот </w:t>
      </w:r>
      <w:proofErr w:type="spellStart"/>
      <w:r w:rsidRPr="00E43EB8">
        <w:rPr>
          <w:b/>
          <w:bCs/>
          <w:color w:val="000000"/>
          <w:sz w:val="24"/>
          <w:szCs w:val="24"/>
          <w:shd w:val="clear" w:color="auto" w:fill="FFFFFF"/>
        </w:rPr>
        <w:t>етказиб</w:t>
      </w:r>
      <w:proofErr w:type="spellEnd"/>
      <w:r w:rsidRPr="00E43EB8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3EB8">
        <w:rPr>
          <w:b/>
          <w:bCs/>
          <w:color w:val="000000"/>
          <w:sz w:val="24"/>
          <w:szCs w:val="24"/>
          <w:shd w:val="clear" w:color="auto" w:fill="FFFFFF"/>
        </w:rPr>
        <w:t>берувчи-сотувчи</w:t>
      </w:r>
      <w:proofErr w:type="spellEnd"/>
      <w:r w:rsidRPr="00E43EB8"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 w:rsidRPr="00E43EB8">
        <w:rPr>
          <w:sz w:val="24"/>
          <w:szCs w:val="24"/>
        </w:rPr>
        <w:t>БУЮРТМАЧИ</w:t>
      </w:r>
    </w:p>
    <w:p w:rsidR="00E43EB8" w:rsidRPr="00E43EB8" w:rsidRDefault="00E43EB8" w:rsidP="00E43EB8">
      <w:pPr>
        <w:rPr>
          <w:sz w:val="18"/>
          <w:szCs w:val="18"/>
          <w:lang w:val="uz-Cyrl-UZ"/>
        </w:rPr>
      </w:pPr>
    </w:p>
    <w:tbl>
      <w:tblPr>
        <w:tblW w:w="0" w:type="auto"/>
        <w:tblLook w:val="04A0"/>
      </w:tblPr>
      <w:tblGrid>
        <w:gridCol w:w="4443"/>
        <w:gridCol w:w="1045"/>
        <w:gridCol w:w="4083"/>
      </w:tblGrid>
      <w:tr w:rsidR="00E43EB8" w:rsidRPr="00E43EB8" w:rsidTr="0030677A">
        <w:tc>
          <w:tcPr>
            <w:tcW w:w="4786" w:type="dxa"/>
          </w:tcPr>
          <w:p w:rsidR="00E43EB8" w:rsidRPr="00E43EB8" w:rsidRDefault="00E43EB8" w:rsidP="0030677A">
            <w:pPr>
              <w:rPr>
                <w:sz w:val="18"/>
                <w:szCs w:val="18"/>
                <w:lang w:val="uz-Cyrl-UZ"/>
              </w:rPr>
            </w:pPr>
            <w:r w:rsidRPr="00E43EB8">
              <w:rPr>
                <w:b/>
                <w:sz w:val="18"/>
                <w:szCs w:val="18"/>
                <w:lang w:val="uz-Cyrl-UZ"/>
              </w:rPr>
              <w:t>Манзили:</w:t>
            </w:r>
          </w:p>
          <w:p w:rsidR="00E43EB8" w:rsidRPr="00E43EB8" w:rsidRDefault="00E43EB8" w:rsidP="0030677A">
            <w:pPr>
              <w:rPr>
                <w:sz w:val="18"/>
                <w:szCs w:val="18"/>
              </w:rPr>
            </w:pPr>
            <w:r w:rsidRPr="00E43EB8">
              <w:rPr>
                <w:sz w:val="18"/>
                <w:szCs w:val="18"/>
                <w:lang w:val="uz-Cyrl-UZ"/>
              </w:rPr>
              <w:t xml:space="preserve">Тел/факс: </w:t>
            </w:r>
          </w:p>
          <w:p w:rsidR="00E43EB8" w:rsidRPr="00E43EB8" w:rsidRDefault="00E43EB8" w:rsidP="0030677A">
            <w:pPr>
              <w:rPr>
                <w:sz w:val="18"/>
                <w:szCs w:val="18"/>
              </w:rPr>
            </w:pPr>
            <w:r w:rsidRPr="00E43EB8">
              <w:rPr>
                <w:b/>
                <w:sz w:val="18"/>
                <w:szCs w:val="18"/>
                <w:lang w:val="uz-Cyrl-UZ"/>
              </w:rPr>
              <w:t>ХР:</w:t>
            </w:r>
          </w:p>
          <w:p w:rsidR="00E43EB8" w:rsidRPr="00E43EB8" w:rsidRDefault="00E43EB8" w:rsidP="0030677A">
            <w:pPr>
              <w:rPr>
                <w:sz w:val="18"/>
                <w:szCs w:val="18"/>
                <w:lang w:val="uz-Cyrl-UZ"/>
              </w:rPr>
            </w:pPr>
            <w:r w:rsidRPr="00E43EB8">
              <w:rPr>
                <w:b/>
                <w:sz w:val="18"/>
                <w:szCs w:val="18"/>
                <w:lang w:val="uz-Cyrl-UZ"/>
              </w:rPr>
              <w:t>Банк номи:</w:t>
            </w:r>
            <w:r w:rsidRPr="00E43EB8">
              <w:rPr>
                <w:sz w:val="18"/>
                <w:szCs w:val="18"/>
                <w:lang w:val="uz-Cyrl-UZ"/>
              </w:rPr>
              <w:t xml:space="preserve"> </w:t>
            </w:r>
          </w:p>
          <w:p w:rsidR="00E43EB8" w:rsidRPr="00E43EB8" w:rsidRDefault="00E43EB8" w:rsidP="0030677A">
            <w:pPr>
              <w:rPr>
                <w:sz w:val="18"/>
                <w:szCs w:val="18"/>
                <w:lang w:val="uz-Cyrl-UZ"/>
              </w:rPr>
            </w:pPr>
            <w:r w:rsidRPr="00E43EB8">
              <w:rPr>
                <w:b/>
                <w:sz w:val="18"/>
                <w:szCs w:val="18"/>
                <w:lang w:val="uz-Cyrl-UZ"/>
              </w:rPr>
              <w:t>МФО</w:t>
            </w:r>
            <w:r>
              <w:rPr>
                <w:b/>
                <w:sz w:val="18"/>
                <w:szCs w:val="18"/>
                <w:lang w:val="uz-Cyrl-UZ"/>
              </w:rPr>
              <w:t xml:space="preserve">                   </w:t>
            </w:r>
            <w:r w:rsidRPr="00E43EB8">
              <w:rPr>
                <w:b/>
                <w:sz w:val="18"/>
                <w:szCs w:val="18"/>
                <w:lang w:val="uz-Cyrl-UZ"/>
              </w:rPr>
              <w:t>СТИР:</w:t>
            </w:r>
            <w:r w:rsidRPr="00E43EB8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 xml:space="preserve">   </w:t>
            </w:r>
            <w:r w:rsidRPr="00E43EB8">
              <w:rPr>
                <w:b/>
                <w:sz w:val="18"/>
                <w:szCs w:val="18"/>
                <w:lang w:val="uz-Cyrl-UZ"/>
              </w:rPr>
              <w:t>ОКОНХ:</w:t>
            </w:r>
            <w:r w:rsidRPr="00E43EB8">
              <w:rPr>
                <w:sz w:val="18"/>
                <w:szCs w:val="18"/>
                <w:lang w:val="uz-Cyrl-UZ"/>
              </w:rPr>
              <w:t xml:space="preserve">  </w:t>
            </w:r>
          </w:p>
          <w:p w:rsidR="00E43EB8" w:rsidRPr="00E43EB8" w:rsidRDefault="00E43EB8" w:rsidP="00495367">
            <w:pPr>
              <w:rPr>
                <w:b/>
                <w:sz w:val="18"/>
                <w:szCs w:val="18"/>
                <w:lang w:val="uz-Cyrl-UZ"/>
              </w:rPr>
            </w:pPr>
            <w:r w:rsidRPr="00E43EB8">
              <w:rPr>
                <w:b/>
                <w:sz w:val="18"/>
                <w:szCs w:val="18"/>
                <w:lang w:val="uz-Cyrl-UZ"/>
              </w:rPr>
              <w:t xml:space="preserve">Рахбар:                        </w:t>
            </w:r>
            <w:r w:rsidR="00495367">
              <w:rPr>
                <w:b/>
                <w:sz w:val="18"/>
                <w:szCs w:val="18"/>
                <w:lang w:val="uz-Cyrl-UZ"/>
              </w:rPr>
              <w:t>____________</w:t>
            </w:r>
          </w:p>
        </w:tc>
        <w:tc>
          <w:tcPr>
            <w:tcW w:w="1134" w:type="dxa"/>
          </w:tcPr>
          <w:p w:rsidR="00E43EB8" w:rsidRPr="00E43EB8" w:rsidRDefault="00E43EB8" w:rsidP="0030677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02" w:type="dxa"/>
          </w:tcPr>
          <w:p w:rsidR="00E43EB8" w:rsidRPr="00E43EB8" w:rsidRDefault="00E43EB8" w:rsidP="0030677A">
            <w:pPr>
              <w:rPr>
                <w:b/>
                <w:sz w:val="18"/>
                <w:szCs w:val="18"/>
              </w:rPr>
            </w:pPr>
          </w:p>
          <w:p w:rsidR="00E43EB8" w:rsidRPr="00E43EB8" w:rsidRDefault="00E43EB8" w:rsidP="0030677A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18"/>
                <w:szCs w:val="18"/>
              </w:rPr>
            </w:pPr>
          </w:p>
          <w:p w:rsidR="00E43EB8" w:rsidRPr="00E43EB8" w:rsidRDefault="00E43EB8" w:rsidP="0030677A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18"/>
                <w:szCs w:val="18"/>
              </w:rPr>
            </w:pPr>
          </w:p>
          <w:p w:rsidR="00E43EB8" w:rsidRPr="00E43EB8" w:rsidRDefault="00E43EB8" w:rsidP="0030677A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18"/>
                <w:szCs w:val="18"/>
              </w:rPr>
            </w:pPr>
          </w:p>
          <w:p w:rsidR="00E43EB8" w:rsidRPr="00E43EB8" w:rsidRDefault="00E43EB8" w:rsidP="0030677A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18"/>
                <w:szCs w:val="18"/>
              </w:rPr>
            </w:pPr>
          </w:p>
          <w:p w:rsidR="00E43EB8" w:rsidRPr="00E43EB8" w:rsidRDefault="00E43EB8" w:rsidP="0030677A">
            <w:pPr>
              <w:rPr>
                <w:b/>
                <w:sz w:val="18"/>
                <w:szCs w:val="18"/>
              </w:rPr>
            </w:pPr>
          </w:p>
        </w:tc>
      </w:tr>
    </w:tbl>
    <w:p w:rsidR="00E130A7" w:rsidRDefault="00E130A7"/>
    <w:sectPr w:rsidR="00E130A7" w:rsidSect="00E1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D5AE3"/>
    <w:rsid w:val="003D5AE3"/>
    <w:rsid w:val="00495367"/>
    <w:rsid w:val="00E130A7"/>
    <w:rsid w:val="00E4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A7"/>
  </w:style>
  <w:style w:type="paragraph" w:styleId="4">
    <w:name w:val="heading 4"/>
    <w:basedOn w:val="a"/>
    <w:next w:val="a"/>
    <w:link w:val="40"/>
    <w:qFormat/>
    <w:rsid w:val="003D5AE3"/>
    <w:pPr>
      <w:keepNext/>
      <w:spacing w:after="0" w:line="240" w:lineRule="auto"/>
      <w:outlineLvl w:val="3"/>
    </w:pPr>
    <w:rPr>
      <w:rFonts w:ascii="BalticaUzbek" w:eastAsia="Times New Roman" w:hAnsi="BalticaUzbek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3D5AE3"/>
  </w:style>
  <w:style w:type="character" w:customStyle="1" w:styleId="tab">
    <w:name w:val="tab"/>
    <w:basedOn w:val="a0"/>
    <w:rsid w:val="003D5AE3"/>
  </w:style>
  <w:style w:type="character" w:customStyle="1" w:styleId="40">
    <w:name w:val="Заголовок 4 Знак"/>
    <w:basedOn w:val="a0"/>
    <w:link w:val="4"/>
    <w:rsid w:val="003D5AE3"/>
    <w:rPr>
      <w:rFonts w:ascii="BalticaUzbek" w:eastAsia="Times New Roman" w:hAnsi="BalticaUzbek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3D5AE3"/>
    <w:pPr>
      <w:spacing w:after="0" w:line="240" w:lineRule="auto"/>
      <w:jc w:val="center"/>
    </w:pPr>
    <w:rPr>
      <w:rFonts w:ascii="BalticaUzbek" w:eastAsia="Times New Roman" w:hAnsi="BalticaUzbek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D5AE3"/>
    <w:rPr>
      <w:rFonts w:ascii="BalticaUzbek" w:eastAsia="Times New Roman" w:hAnsi="BalticaUzbek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МТБ-2</dc:creator>
  <cp:lastModifiedBy>МТБ-2</cp:lastModifiedBy>
  <cp:revision>2</cp:revision>
  <dcterms:created xsi:type="dcterms:W3CDTF">2022-11-02T11:12:00Z</dcterms:created>
  <dcterms:modified xsi:type="dcterms:W3CDTF">2022-11-02T11:37:00Z</dcterms:modified>
</cp:coreProperties>
</file>