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1" w:rsidRPr="00CD4E25" w:rsidRDefault="00AB1901" w:rsidP="00AB190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Pr="00CD4E25">
        <w:rPr>
          <w:b/>
          <w:bCs/>
          <w:lang w:val="uz-Cyrl-UZ"/>
        </w:rPr>
        <w:t>_____</w:t>
      </w:r>
    </w:p>
    <w:p w:rsidR="00AB1901" w:rsidRPr="00BA19D7" w:rsidRDefault="00AB1901" w:rsidP="00AB190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 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AB1901" w:rsidRPr="00BA19D7" w:rsidRDefault="00AB1901" w:rsidP="00AB1901">
      <w:pPr>
        <w:ind w:left="-284" w:right="-203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>
        <w:rPr>
          <w:sz w:val="20"/>
          <w:szCs w:val="20"/>
        </w:rPr>
        <w:t xml:space="preserve">Кармана </w:t>
      </w:r>
      <w:proofErr w:type="spellStart"/>
      <w:r>
        <w:rPr>
          <w:sz w:val="20"/>
          <w:szCs w:val="20"/>
        </w:rPr>
        <w:t>тумани</w:t>
      </w:r>
      <w:proofErr w:type="spellEnd"/>
      <w:r>
        <w:rPr>
          <w:sz w:val="20"/>
          <w:szCs w:val="20"/>
        </w:rPr>
        <w:t xml:space="preserve"> </w:t>
      </w:r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right="-203"/>
        <w:jc w:val="both"/>
        <w:rPr>
          <w:sz w:val="20"/>
          <w:szCs w:val="20"/>
          <w:lang w:val="uz-Cyrl-UZ"/>
        </w:rPr>
      </w:pPr>
    </w:p>
    <w:p w:rsidR="00AB1901" w:rsidRPr="00BA19D7" w:rsidRDefault="00AB1901" w:rsidP="00AB1901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Кармана тумани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Ободонлаштириш бошқармаси С.Садуллаев</w:t>
      </w:r>
    </w:p>
    <w:p w:rsidR="00AB1901" w:rsidRPr="00BA19D7" w:rsidRDefault="00AB1901" w:rsidP="00AB1901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( хўжалик юритувчи субъект, ФИШ )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AB1901" w:rsidRPr="00BA19D7" w:rsidRDefault="00AB1901" w:rsidP="00AB1901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AB1901" w:rsidRPr="00BA19D7" w:rsidTr="005C2EAD">
        <w:trPr>
          <w:trHeight w:val="565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AB1901" w:rsidRPr="00BA19D7" w:rsidTr="005C2EAD">
        <w:trPr>
          <w:trHeight w:val="306"/>
          <w:jc w:val="center"/>
        </w:trPr>
        <w:tc>
          <w:tcPr>
            <w:tcW w:w="508" w:type="dxa"/>
          </w:tcPr>
          <w:p w:rsidR="00AB1901" w:rsidRPr="00BA19D7" w:rsidRDefault="00AB1901" w:rsidP="005C2EAD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AB1901" w:rsidRPr="00B8414D" w:rsidRDefault="003E5186" w:rsidP="003E518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>Аргун</w:t>
            </w:r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МФЙ 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>П.Махмуд</w:t>
            </w:r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кўчасини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жорий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таъмирлаш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ab/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3E5186" w:rsidRDefault="00AB1901" w:rsidP="005C2EAD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trHeight w:val="264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AB1901" w:rsidRPr="00BA19D7" w:rsidRDefault="00AB1901" w:rsidP="00AB1901">
      <w:pPr>
        <w:ind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AB1901" w:rsidRPr="00BA19D7" w:rsidRDefault="00AB1901" w:rsidP="00AB1901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AB1901" w:rsidRPr="00BA19D7" w:rsidRDefault="00AB1901" w:rsidP="00AB1901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</w:t>
      </w:r>
      <w:proofErr w:type="gramEnd"/>
      <w:r w:rsidRPr="00BA19D7">
        <w:rPr>
          <w:sz w:val="20"/>
          <w:szCs w:val="20"/>
        </w:rPr>
        <w:t>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AB1901" w:rsidRPr="00BA19D7" w:rsidRDefault="00AB1901" w:rsidP="00AB1901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AB1901" w:rsidRPr="00BA19D7" w:rsidTr="005C2EAD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Ободонлаштириш бошкармаси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AB1901" w:rsidRPr="00BA19D7" w:rsidTr="005C2EAD">
        <w:trPr>
          <w:trHeight w:val="80"/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</w:t>
            </w:r>
            <w:r>
              <w:rPr>
                <w:sz w:val="20"/>
                <w:szCs w:val="20"/>
                <w:lang w:val="uz-Cyrl-UZ"/>
              </w:rPr>
              <w:t>79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532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5516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961594" w:rsidRDefault="00AB1901" w:rsidP="00597338">
            <w:pPr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3E5186" w:rsidRPr="003E5186">
              <w:rPr>
                <w:rStyle w:val="a3"/>
                <w:rFonts w:ascii="Open Sans" w:hAnsi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100022860122347045204110009</w:t>
            </w:r>
            <w:bookmarkStart w:id="0" w:name="_GoBack"/>
            <w:bookmarkEnd w:id="0"/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203005619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</w:rPr>
              <w:t xml:space="preserve"> б</w:t>
            </w:r>
            <w:r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BA19D7">
              <w:rPr>
                <w:sz w:val="20"/>
                <w:szCs w:val="20"/>
              </w:rPr>
              <w:t>йича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00 014          СТИР: 201 122 919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  <w:p w:rsidR="00AB1901" w:rsidRPr="00881BDD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proofErr w:type="spellStart"/>
            <w:r>
              <w:rPr>
                <w:sz w:val="20"/>
                <w:szCs w:val="20"/>
              </w:rPr>
              <w:t>С.Садул</w:t>
            </w:r>
            <w:proofErr w:type="spellEnd"/>
            <w:r>
              <w:rPr>
                <w:sz w:val="20"/>
                <w:szCs w:val="20"/>
                <w:lang w:val="uz-Cyrl-UZ"/>
              </w:rPr>
              <w:t>лаев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AB1901" w:rsidRPr="00BA19D7" w:rsidRDefault="00AB1901" w:rsidP="00AB1901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1E7659" w:rsidRDefault="00AB1901" w:rsidP="00AB1901"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</w:p>
    <w:sectPr w:rsidR="001E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01"/>
    <w:rsid w:val="000243AE"/>
    <w:rsid w:val="001E7659"/>
    <w:rsid w:val="0022145F"/>
    <w:rsid w:val="00246163"/>
    <w:rsid w:val="00253127"/>
    <w:rsid w:val="00394B3A"/>
    <w:rsid w:val="003E5186"/>
    <w:rsid w:val="003F5C4B"/>
    <w:rsid w:val="00597338"/>
    <w:rsid w:val="00961594"/>
    <w:rsid w:val="00A2692E"/>
    <w:rsid w:val="00A74FB0"/>
    <w:rsid w:val="00AB1901"/>
    <w:rsid w:val="00B210A7"/>
    <w:rsid w:val="00B8414D"/>
    <w:rsid w:val="00BC2E22"/>
    <w:rsid w:val="00D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6A57"/>
  <w15:chartTrackingRefBased/>
  <w15:docId w15:val="{4DFD05A3-DD97-46B6-B002-163F97B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FE62F-2500-404B-94B4-A3E1BEC4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2022-08-25T12:45:00Z</dcterms:created>
  <dcterms:modified xsi:type="dcterms:W3CDTF">2022-11-29T07:08:00Z</dcterms:modified>
</cp:coreProperties>
</file>