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3CA" w:rsidRPr="00C213CA" w:rsidRDefault="00C213CA" w:rsidP="00C213C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>SHARTNOMA № _______</w:t>
      </w:r>
    </w:p>
    <w:p w:rsidR="00C213CA" w:rsidRPr="00C213CA" w:rsidRDefault="00C213CA" w:rsidP="00C213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213CA" w:rsidRDefault="00C213CA" w:rsidP="00C213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 xml:space="preserve"> «_____» ______________ 20____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yil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</w:t>
      </w:r>
      <w:r w:rsidRPr="00C213CA">
        <w:rPr>
          <w:rFonts w:ascii="Arial" w:hAnsi="Arial" w:cs="Arial"/>
          <w:sz w:val="24"/>
          <w:szCs w:val="24"/>
          <w:lang w:val="en-US"/>
        </w:rPr>
        <w:t>_________________</w:t>
      </w:r>
    </w:p>
    <w:p w:rsidR="00C213CA" w:rsidRPr="00C213CA" w:rsidRDefault="00C213CA" w:rsidP="00C213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C213CA" w:rsidRPr="00C213CA" w:rsidRDefault="00C213CA" w:rsidP="00C213C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 xml:space="preserve">_____________________________________________________,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bundan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buyon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Ta’minotchi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deb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ataluvchi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rahbari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__________________________________,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Nizom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asosida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ish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yurituvchi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bir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tomondan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va</w:t>
      </w:r>
      <w:proofErr w:type="spellEnd"/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 ___________________________</w:t>
      </w:r>
    </w:p>
    <w:p w:rsidR="00C213CA" w:rsidRPr="00C213CA" w:rsidRDefault="00C213CA" w:rsidP="00C213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 xml:space="preserve">________________________________________________________________,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bundan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buyon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Iste’molchi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deb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ataluvchi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,      </w:t>
      </w:r>
      <w:proofErr w:type="spellStart"/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rahbari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 _</w:t>
      </w:r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____________________________________________________, 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Nizom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asosida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ish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yurituvchi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ikkinchi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tomondan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quyidagilar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toʻgʻrisida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tuzadilar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:</w:t>
      </w:r>
    </w:p>
    <w:p w:rsidR="00B54C1F" w:rsidRDefault="00B54C1F" w:rsidP="00C213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213CA" w:rsidRPr="00C213CA" w:rsidRDefault="00C213CA" w:rsidP="00C213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213CA">
        <w:rPr>
          <w:rFonts w:ascii="Arial" w:hAnsi="Arial" w:cs="Arial"/>
          <w:b/>
          <w:sz w:val="24"/>
          <w:szCs w:val="24"/>
          <w:lang w:val="en-US"/>
        </w:rPr>
        <w:t>1.</w:t>
      </w:r>
      <w:r>
        <w:rPr>
          <w:rFonts w:ascii="Arial" w:hAnsi="Arial" w:cs="Arial"/>
          <w:b/>
          <w:sz w:val="24"/>
          <w:szCs w:val="24"/>
          <w:lang w:val="uz-Cyrl-UZ"/>
        </w:rPr>
        <w:t> </w:t>
      </w:r>
      <w:proofErr w:type="spellStart"/>
      <w:r w:rsidRPr="00C213CA">
        <w:rPr>
          <w:rFonts w:ascii="Arial" w:hAnsi="Arial" w:cs="Arial"/>
          <w:b/>
          <w:sz w:val="24"/>
          <w:szCs w:val="24"/>
          <w:lang w:val="en-US"/>
        </w:rPr>
        <w:t>Shartnoma</w:t>
      </w:r>
      <w:proofErr w:type="spellEnd"/>
      <w:r w:rsidRPr="00C213C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b/>
          <w:sz w:val="24"/>
          <w:szCs w:val="24"/>
          <w:lang w:val="en-US"/>
        </w:rPr>
        <w:t>predmeti</w:t>
      </w:r>
      <w:proofErr w:type="spellEnd"/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>1.1.</w:t>
      </w:r>
      <w:r>
        <w:rPr>
          <w:rFonts w:ascii="Arial" w:hAnsi="Arial" w:cs="Arial"/>
          <w:sz w:val="24"/>
          <w:szCs w:val="24"/>
          <w:lang w:val="uz-Cyrl-UZ"/>
        </w:rPr>
        <w:t> </w:t>
      </w:r>
      <w:r w:rsidRPr="00C213CA">
        <w:rPr>
          <w:rFonts w:ascii="Arial" w:hAnsi="Arial" w:cs="Arial"/>
          <w:sz w:val="24"/>
          <w:szCs w:val="24"/>
          <w:lang w:val="en-US"/>
        </w:rPr>
        <w:t>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Ta’minotchi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»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Iste’molchi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ehtiyoji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uchun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lozim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boʻlgan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tovar-moddiy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boyliklarni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etkazib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beradi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,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Iste’molchi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esa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tovar-moddiy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boyliklarni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qabul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qilib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mazkur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shartlari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asosida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toʻlovlarni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amalga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oshiradi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C213CA" w:rsidRDefault="00C213CA" w:rsidP="00C213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213CA" w:rsidRPr="00C213CA" w:rsidRDefault="00C213CA" w:rsidP="00C213C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213CA">
        <w:rPr>
          <w:rFonts w:ascii="Arial" w:hAnsi="Arial" w:cs="Arial"/>
          <w:b/>
          <w:sz w:val="24"/>
          <w:szCs w:val="24"/>
          <w:lang w:val="en-US"/>
        </w:rPr>
        <w:t>2.</w:t>
      </w:r>
      <w:r>
        <w:rPr>
          <w:rFonts w:ascii="Arial" w:hAnsi="Arial" w:cs="Arial"/>
          <w:b/>
          <w:sz w:val="24"/>
          <w:szCs w:val="24"/>
          <w:lang w:val="uz-Cyrl-UZ"/>
        </w:rPr>
        <w:t> </w:t>
      </w:r>
      <w:r w:rsidRPr="00C213CA">
        <w:rPr>
          <w:rFonts w:ascii="Arial" w:hAnsi="Arial" w:cs="Arial"/>
          <w:b/>
          <w:sz w:val="24"/>
          <w:szCs w:val="24"/>
          <w:lang w:val="en-US"/>
        </w:rPr>
        <w:t xml:space="preserve">Tovar </w:t>
      </w:r>
      <w:proofErr w:type="spellStart"/>
      <w:r w:rsidRPr="00C213CA">
        <w:rPr>
          <w:rFonts w:ascii="Arial" w:hAnsi="Arial" w:cs="Arial"/>
          <w:b/>
          <w:sz w:val="24"/>
          <w:szCs w:val="24"/>
          <w:lang w:val="en-US"/>
        </w:rPr>
        <w:t>moddiy</w:t>
      </w:r>
      <w:proofErr w:type="spellEnd"/>
      <w:r w:rsidRPr="00C213C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b/>
          <w:sz w:val="24"/>
          <w:szCs w:val="24"/>
          <w:lang w:val="en-US"/>
        </w:rPr>
        <w:t>boylikning</w:t>
      </w:r>
      <w:proofErr w:type="spellEnd"/>
      <w:r w:rsidRPr="00C213C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b/>
          <w:sz w:val="24"/>
          <w:szCs w:val="24"/>
          <w:lang w:val="en-US"/>
        </w:rPr>
        <w:t>narxi</w:t>
      </w:r>
      <w:proofErr w:type="spellEnd"/>
      <w:r w:rsidRPr="00C213C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C213CA">
        <w:rPr>
          <w:rFonts w:ascii="Arial" w:hAnsi="Arial" w:cs="Arial"/>
          <w:b/>
          <w:sz w:val="24"/>
          <w:szCs w:val="24"/>
          <w:lang w:val="en-US"/>
        </w:rPr>
        <w:t>va</w:t>
      </w:r>
      <w:proofErr w:type="spellEnd"/>
      <w:proofErr w:type="gramEnd"/>
      <w:r w:rsidRPr="00C213C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b/>
          <w:sz w:val="24"/>
          <w:szCs w:val="24"/>
          <w:lang w:val="en-US"/>
        </w:rPr>
        <w:t>umumiy</w:t>
      </w:r>
      <w:proofErr w:type="spellEnd"/>
      <w:r w:rsidRPr="00C213CA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b/>
          <w:sz w:val="24"/>
          <w:szCs w:val="24"/>
          <w:lang w:val="en-US"/>
        </w:rPr>
        <w:t>qiymati</w:t>
      </w:r>
      <w:proofErr w:type="spellEnd"/>
    </w:p>
    <w:p w:rsid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>2.1</w:t>
      </w:r>
      <w:r>
        <w:rPr>
          <w:rFonts w:ascii="Arial" w:hAnsi="Arial" w:cs="Arial"/>
          <w:sz w:val="24"/>
          <w:szCs w:val="24"/>
          <w:lang w:val="uz-Cyrl-UZ"/>
        </w:rPr>
        <w:t>. </w:t>
      </w:r>
      <w:r w:rsidRPr="00C213CA">
        <w:rPr>
          <w:rFonts w:ascii="Arial" w:hAnsi="Arial" w:cs="Arial"/>
          <w:sz w:val="24"/>
          <w:szCs w:val="24"/>
          <w:lang w:val="en-US"/>
        </w:rPr>
        <w:t xml:space="preserve">Tovar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moddiy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boylik</w:t>
      </w:r>
      <w:r>
        <w:rPr>
          <w:rFonts w:ascii="Arial" w:hAnsi="Arial" w:cs="Arial"/>
          <w:sz w:val="24"/>
          <w:szCs w:val="24"/>
          <w:lang w:val="en-US"/>
        </w:rPr>
        <w:t>lari</w:t>
      </w:r>
      <w:r w:rsidRPr="00C213CA">
        <w:rPr>
          <w:rFonts w:ascii="Arial" w:hAnsi="Arial" w:cs="Arial"/>
          <w:sz w:val="24"/>
          <w:szCs w:val="24"/>
          <w:lang w:val="en-US"/>
        </w:rPr>
        <w:t>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qiymati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Respublikamiz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milliy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valyutasi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soʻmda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belgilanadi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3477"/>
        <w:gridCol w:w="1017"/>
        <w:gridCol w:w="1273"/>
        <w:gridCol w:w="1414"/>
        <w:gridCol w:w="1979"/>
      </w:tblGrid>
      <w:tr w:rsidR="00C213CA" w:rsidRPr="009875AF" w:rsidTr="00B54C1F">
        <w:trPr>
          <w:trHeight w:val="567"/>
        </w:trPr>
        <w:tc>
          <w:tcPr>
            <w:tcW w:w="474" w:type="dxa"/>
            <w:vAlign w:val="center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C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490" w:type="dxa"/>
            <w:vAlign w:val="center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CA">
              <w:rPr>
                <w:rFonts w:ascii="Arial" w:hAnsi="Arial" w:cs="Arial"/>
                <w:sz w:val="24"/>
                <w:szCs w:val="24"/>
                <w:lang w:val="en-US"/>
              </w:rPr>
              <w:t xml:space="preserve">Tovar </w:t>
            </w:r>
            <w:proofErr w:type="spellStart"/>
            <w:r w:rsidRPr="00C213CA">
              <w:rPr>
                <w:rFonts w:ascii="Arial" w:hAnsi="Arial" w:cs="Arial"/>
                <w:sz w:val="24"/>
                <w:szCs w:val="24"/>
                <w:lang w:val="en-US"/>
              </w:rPr>
              <w:t>moddiy</w:t>
            </w:r>
            <w:proofErr w:type="spellEnd"/>
            <w:r w:rsidRPr="00C213C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13CA">
              <w:rPr>
                <w:rFonts w:ascii="Arial" w:hAnsi="Arial" w:cs="Arial"/>
                <w:sz w:val="24"/>
                <w:szCs w:val="24"/>
                <w:lang w:val="en-US"/>
              </w:rPr>
              <w:t>boyliklarining</w:t>
            </w:r>
            <w:proofErr w:type="spellEnd"/>
            <w:r w:rsidRPr="00C213C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13CA">
              <w:rPr>
                <w:rFonts w:ascii="Arial" w:hAnsi="Arial" w:cs="Arial"/>
                <w:sz w:val="24"/>
                <w:szCs w:val="24"/>
                <w:lang w:val="en-US"/>
              </w:rPr>
              <w:t>nomi</w:t>
            </w:r>
            <w:proofErr w:type="spellEnd"/>
          </w:p>
        </w:tc>
        <w:tc>
          <w:tcPr>
            <w:tcW w:w="993" w:type="dxa"/>
            <w:vAlign w:val="center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13CA">
              <w:rPr>
                <w:rFonts w:ascii="Arial" w:hAnsi="Arial" w:cs="Arial"/>
                <w:sz w:val="24"/>
                <w:szCs w:val="24"/>
                <w:lang w:val="en-US"/>
              </w:rPr>
              <w:t>Oʻlchov</w:t>
            </w:r>
            <w:proofErr w:type="spellEnd"/>
            <w:r w:rsidRPr="00C213C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13CA">
              <w:rPr>
                <w:rFonts w:ascii="Arial" w:hAnsi="Arial" w:cs="Arial"/>
                <w:sz w:val="24"/>
                <w:szCs w:val="24"/>
                <w:lang w:val="en-US"/>
              </w:rPr>
              <w:t>birligi</w:t>
            </w:r>
            <w:proofErr w:type="spellEnd"/>
          </w:p>
        </w:tc>
        <w:tc>
          <w:tcPr>
            <w:tcW w:w="1275" w:type="dxa"/>
            <w:vAlign w:val="center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13CA">
              <w:rPr>
                <w:rFonts w:ascii="Arial" w:hAnsi="Arial" w:cs="Arial"/>
                <w:sz w:val="24"/>
                <w:szCs w:val="24"/>
                <w:lang w:val="en-US"/>
              </w:rPr>
              <w:t>Miqdori</w:t>
            </w:r>
            <w:proofErr w:type="spellEnd"/>
          </w:p>
        </w:tc>
        <w:tc>
          <w:tcPr>
            <w:tcW w:w="1418" w:type="dxa"/>
            <w:vAlign w:val="center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13CA">
              <w:rPr>
                <w:rFonts w:ascii="Arial" w:hAnsi="Arial" w:cs="Arial"/>
                <w:sz w:val="24"/>
                <w:szCs w:val="24"/>
                <w:lang w:val="en-US"/>
              </w:rPr>
              <w:t>Narxi</w:t>
            </w:r>
            <w:proofErr w:type="spellEnd"/>
          </w:p>
        </w:tc>
        <w:tc>
          <w:tcPr>
            <w:tcW w:w="1984" w:type="dxa"/>
            <w:vAlign w:val="center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13CA">
              <w:rPr>
                <w:rFonts w:ascii="Arial" w:hAnsi="Arial" w:cs="Arial"/>
                <w:sz w:val="24"/>
                <w:szCs w:val="24"/>
                <w:lang w:val="en-US"/>
              </w:rPr>
              <w:t>Umumiy</w:t>
            </w:r>
            <w:proofErr w:type="spellEnd"/>
            <w:r w:rsidRPr="00C213C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13CA">
              <w:rPr>
                <w:rFonts w:ascii="Arial" w:hAnsi="Arial" w:cs="Arial"/>
                <w:sz w:val="24"/>
                <w:szCs w:val="24"/>
                <w:lang w:val="en-US"/>
              </w:rPr>
              <w:t>summasi</w:t>
            </w:r>
            <w:proofErr w:type="spellEnd"/>
          </w:p>
        </w:tc>
      </w:tr>
      <w:tr w:rsidR="00C213CA" w:rsidRPr="009875AF" w:rsidTr="00B54C1F">
        <w:tc>
          <w:tcPr>
            <w:tcW w:w="474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C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90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CA" w:rsidRPr="009875AF" w:rsidTr="00B54C1F">
        <w:tc>
          <w:tcPr>
            <w:tcW w:w="474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C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90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CA" w:rsidRPr="009875AF" w:rsidTr="00B54C1F">
        <w:tc>
          <w:tcPr>
            <w:tcW w:w="474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C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90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CA" w:rsidRPr="009875AF" w:rsidTr="00B54C1F">
        <w:tc>
          <w:tcPr>
            <w:tcW w:w="474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213C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490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3CA" w:rsidRPr="00C213CA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13CA" w:rsidRPr="00B54C1F" w:rsidTr="00B54C1F">
        <w:tc>
          <w:tcPr>
            <w:tcW w:w="474" w:type="dxa"/>
          </w:tcPr>
          <w:p w:rsidR="00C213CA" w:rsidRPr="00B54C1F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490" w:type="dxa"/>
          </w:tcPr>
          <w:p w:rsidR="00C213CA" w:rsidRPr="00B54C1F" w:rsidRDefault="00B54C1F" w:rsidP="00C213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54C1F">
              <w:rPr>
                <w:rFonts w:ascii="Arial" w:hAnsi="Arial" w:cs="Arial"/>
                <w:b/>
                <w:sz w:val="24"/>
                <w:szCs w:val="24"/>
                <w:lang w:val="en-US"/>
              </w:rPr>
              <w:t>JAMI</w:t>
            </w:r>
          </w:p>
        </w:tc>
        <w:tc>
          <w:tcPr>
            <w:tcW w:w="993" w:type="dxa"/>
          </w:tcPr>
          <w:p w:rsidR="00C213CA" w:rsidRPr="00B54C1F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213CA" w:rsidRPr="00B54C1F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213CA" w:rsidRPr="00B54C1F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3CA" w:rsidRPr="00B54C1F" w:rsidRDefault="00C213CA" w:rsidP="00C213C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C213CA" w:rsidRPr="00C213CA" w:rsidRDefault="00C213CA" w:rsidP="00C213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ab/>
      </w:r>
      <w:r w:rsidRPr="00C213CA">
        <w:rPr>
          <w:rFonts w:ascii="Arial" w:hAnsi="Arial" w:cs="Arial"/>
          <w:sz w:val="24"/>
          <w:szCs w:val="24"/>
          <w:lang w:val="en-US"/>
        </w:rPr>
        <w:tab/>
      </w:r>
      <w:r w:rsidRPr="00C213CA">
        <w:rPr>
          <w:rFonts w:ascii="Arial" w:hAnsi="Arial" w:cs="Arial"/>
          <w:sz w:val="24"/>
          <w:szCs w:val="24"/>
          <w:lang w:val="en-US"/>
        </w:rPr>
        <w:tab/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>2.2</w:t>
      </w:r>
      <w:r w:rsidR="00B54C1F">
        <w:rPr>
          <w:rFonts w:ascii="Arial" w:hAnsi="Arial" w:cs="Arial"/>
          <w:sz w:val="24"/>
          <w:szCs w:val="24"/>
          <w:lang w:val="en-US"/>
        </w:rPr>
        <w:t>. 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umumiy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summasi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_________________________________ (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soʻz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bilan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) ____</w:t>
      </w:r>
      <w:r w:rsidR="00B54C1F" w:rsidRPr="00C213CA">
        <w:rPr>
          <w:rFonts w:ascii="Arial" w:hAnsi="Arial" w:cs="Arial"/>
          <w:sz w:val="24"/>
          <w:szCs w:val="24"/>
          <w:lang w:val="en-US"/>
        </w:rPr>
        <w:t>__________________________________________</w:t>
      </w:r>
      <w:r w:rsidRPr="00C213CA">
        <w:rPr>
          <w:rFonts w:ascii="Arial" w:hAnsi="Arial" w:cs="Arial"/>
          <w:sz w:val="24"/>
          <w:szCs w:val="24"/>
          <w:lang w:val="en-US"/>
        </w:rPr>
        <w:t>_____________________</w:t>
      </w:r>
    </w:p>
    <w:p w:rsidR="00C213CA" w:rsidRPr="00C213CA" w:rsidRDefault="00C213CA" w:rsidP="00B54C1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 xml:space="preserve">_________________________________________________________________________________________________________________________________________________________________________soʻmni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tashkil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qiladi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>2.3.</w:t>
      </w:r>
      <w:r w:rsidR="00B54C1F">
        <w:rPr>
          <w:rFonts w:ascii="Arial" w:hAnsi="Arial" w:cs="Arial"/>
          <w:sz w:val="24"/>
          <w:szCs w:val="24"/>
          <w:lang w:val="en-US"/>
        </w:rPr>
        <w:t> </w:t>
      </w:r>
      <w:r w:rsidRPr="00C213CA">
        <w:rPr>
          <w:rFonts w:ascii="Arial" w:hAnsi="Arial" w:cs="Arial"/>
          <w:sz w:val="24"/>
          <w:szCs w:val="24"/>
          <w:lang w:val="en-US"/>
        </w:rPr>
        <w:t>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Ta’minotchi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tovar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moddiy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boyliklarning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qiymati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narx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oshganligi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natijasida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oʻzgarganda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,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Iste’molchi»ga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oldindan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xabardor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qilib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tovar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moddiy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boylik</w:t>
      </w:r>
      <w:r w:rsidR="00B54C1F">
        <w:rPr>
          <w:rFonts w:ascii="Arial" w:hAnsi="Arial" w:cs="Arial"/>
          <w:sz w:val="24"/>
          <w:szCs w:val="24"/>
          <w:lang w:val="en-US"/>
        </w:rPr>
        <w:t>lari</w:t>
      </w:r>
      <w:r w:rsidRPr="00C213CA">
        <w:rPr>
          <w:rFonts w:ascii="Arial" w:hAnsi="Arial" w:cs="Arial"/>
          <w:sz w:val="24"/>
          <w:szCs w:val="24"/>
          <w:lang w:val="en-US"/>
        </w:rPr>
        <w:t>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</w:t>
      </w:r>
      <w:proofErr w:type="gramEnd"/>
      <w:r w:rsidRPr="00C213CA">
        <w:rPr>
          <w:rFonts w:ascii="Arial" w:hAnsi="Arial" w:cs="Arial"/>
          <w:sz w:val="24"/>
          <w:szCs w:val="24"/>
          <w:lang w:val="en-US"/>
        </w:rPr>
        <w:t>ʻzgargan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narxini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asoslagan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holda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sotadi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>2.4.</w:t>
      </w:r>
      <w:r w:rsidR="00B54C1F">
        <w:rPr>
          <w:rFonts w:ascii="Arial" w:hAnsi="Arial" w:cs="Arial"/>
          <w:sz w:val="24"/>
          <w:szCs w:val="24"/>
          <w:lang w:val="en-US"/>
        </w:rPr>
        <w:t> </w:t>
      </w:r>
      <w:r w:rsidRPr="00C213CA">
        <w:rPr>
          <w:rFonts w:ascii="Arial" w:hAnsi="Arial" w:cs="Arial"/>
          <w:sz w:val="24"/>
          <w:szCs w:val="24"/>
          <w:lang w:val="en-US"/>
        </w:rPr>
        <w:t>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Iste’molchi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oʻzgargan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narxlar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asosida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qoʻshimcha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toʻlovlarni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byudjetda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koʻrsatilgan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limit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doirasida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qoʻshimcha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kelishuvlar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tuzilishi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asosida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amalga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oshiradi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C213CA" w:rsidRPr="00B54C1F" w:rsidRDefault="00C213CA" w:rsidP="00B54C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3.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Toʻlov</w:t>
      </w:r>
      <w:proofErr w:type="spellEnd"/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shartlari</w:t>
      </w:r>
      <w:proofErr w:type="spellEnd"/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>3.1.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Iste’molchi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umumiy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summasining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oldindan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 30</w:t>
      </w:r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 %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 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miqdordagi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toʻlovni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gʻaznachilik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boʻlinmasida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roʻyxatga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olingandan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soʻng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___ bank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kunida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Ta’minotchi»ning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maxsus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hisob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raqamiga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pul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oʻtkazish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yoʻli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bilan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toʻlovni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amalga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oshiradi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 xml:space="preserve">3.2. Tovar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moddiy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boyliklar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toʻliq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etkazib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berilgandan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soʻng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____ bank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kunida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hisob-faktura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asosida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qolgan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70</w:t>
      </w:r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 xml:space="preserve">% 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miqdoridagi</w:t>
      </w:r>
      <w:proofErr w:type="spellEnd"/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toʻlov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Ta’minotchi»ning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maxsus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hisob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raqamiga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oʻtkazib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beriladi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.  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>3.3.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Iste’molchi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tomonidan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mazkur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3.1. </w:t>
      </w:r>
      <w:proofErr w:type="spellStart"/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bandi</w:t>
      </w:r>
      <w:proofErr w:type="spellEnd"/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talablari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bajarilmagan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taqdirda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Ta’minotchi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koʻrsatilgan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maxsulotlarni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bermaslikga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haqli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boʻladi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>3.4.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Ta’minotchi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tomonidan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tovar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moddiy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boyliklarni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oʻz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vaqtida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etkazib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berilmasa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buning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natijasida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ikkinchi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tomon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jiddiy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zarar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koʻrsa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bir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tomonlama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bekor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qilishga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asos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boʻladi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 xml:space="preserve">                               </w:t>
      </w:r>
    </w:p>
    <w:p w:rsidR="00C213CA" w:rsidRPr="00B54C1F" w:rsidRDefault="00C213CA" w:rsidP="00B54C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4. Tovar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moddiy</w:t>
      </w:r>
      <w:proofErr w:type="spellEnd"/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boylikni</w:t>
      </w:r>
      <w:proofErr w:type="spellEnd"/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etkazab</w:t>
      </w:r>
      <w:proofErr w:type="spellEnd"/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berish</w:t>
      </w:r>
      <w:proofErr w:type="spellEnd"/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tartibi</w:t>
      </w:r>
      <w:proofErr w:type="spellEnd"/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lastRenderedPageBreak/>
        <w:t>4.1.</w:t>
      </w:r>
      <w:r w:rsidR="00B54C1F">
        <w:rPr>
          <w:rFonts w:ascii="Arial" w:hAnsi="Arial" w:cs="Arial"/>
          <w:sz w:val="24"/>
          <w:szCs w:val="24"/>
          <w:lang w:val="en-US"/>
        </w:rPr>
        <w:t> </w:t>
      </w:r>
      <w:r w:rsidRPr="00C213CA">
        <w:rPr>
          <w:rFonts w:ascii="Arial" w:hAnsi="Arial" w:cs="Arial"/>
          <w:sz w:val="24"/>
          <w:szCs w:val="24"/>
          <w:lang w:val="en-US"/>
        </w:rPr>
        <w:t>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Ta’minotchi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tovar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moddiy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boyliklari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belgilangan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vaqtda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r w:rsidR="00B54C1F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B54C1F">
        <w:rPr>
          <w:rFonts w:ascii="Arial" w:hAnsi="Arial" w:cs="Arial"/>
          <w:sz w:val="24"/>
          <w:szCs w:val="24"/>
          <w:lang w:val="en-US"/>
        </w:rPr>
        <w:t>manzil</w:t>
      </w:r>
      <w:proofErr w:type="spellEnd"/>
      <w:r w:rsidR="00B54C1F">
        <w:rPr>
          <w:rFonts w:ascii="Arial" w:hAnsi="Arial" w:cs="Arial"/>
          <w:sz w:val="24"/>
          <w:szCs w:val="24"/>
          <w:lang w:val="en-US"/>
        </w:rPr>
        <w:t>) ___________ __________________</w:t>
      </w:r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joylashgan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Iste’molchi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omborxonasigacha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etkazib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beradi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 xml:space="preserve">4.2. Tovar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moddiy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boyliklarni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etkazib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berish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tartibi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ushbu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shartnomaning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 3.1</w:t>
      </w:r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bandiga</w:t>
      </w:r>
      <w:proofErr w:type="spellEnd"/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asosan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pul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mablagʻlari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Ta’minotchi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hisob-raqamiga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oʻtkazilgandan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soʻng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3 bank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ish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kunida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bajarilishi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 xml:space="preserve">4.3. Tovar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moddiy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boylikni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tegishli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tartibda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rasmiylashtirilgan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ishonchnoma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taqdim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etilgandan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soʻng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Adliya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vazirligining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27.05.2003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yildagi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№1245-sonli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koʻrsatma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tartib</w:t>
      </w:r>
      <w:proofErr w:type="spellEnd"/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)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ga</w:t>
      </w:r>
      <w:proofErr w:type="spellEnd"/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asosan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maxsulot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oluvchining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shaxsini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tasdiqlovchi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hujjatlar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asosida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chiqariladi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 xml:space="preserve">4.4.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Ishonchnoma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notoʻgʻri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rasmiylashtirilgan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holda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Ta’minotchi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tovar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moddiy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boyliklarni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chiqarishdan</w:t>
      </w:r>
      <w:proofErr w:type="spellEnd"/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 bosh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tortishga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haqli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B54C1F" w:rsidRDefault="00B54C1F" w:rsidP="00B54C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213CA" w:rsidRPr="00B54C1F" w:rsidRDefault="00C213CA" w:rsidP="00B54C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5.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Tomonlarning</w:t>
      </w:r>
      <w:proofErr w:type="spellEnd"/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majburiyatlari</w:t>
      </w:r>
      <w:proofErr w:type="spellEnd"/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5.1</w:t>
      </w:r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Ta’minotchi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majburiyatlari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: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 xml:space="preserve">•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Oldindan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3.1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bandi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boʻyicha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toʻlov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amalga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oshirilgandan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keyin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,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Iste’molchi»ga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koʻrsatilgan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tovar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moddiy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boyliklarini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etkazib</w:t>
      </w:r>
      <w:proofErr w:type="spellEnd"/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beradi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;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>•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Iste’molchi»ga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tovar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moddiy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boyliklarining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servis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kitobchasi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pasporti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schet-spravkasi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va</w:t>
      </w:r>
      <w:proofErr w:type="spellEnd"/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yaroqlilik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sertifikatidan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nusxa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taqdim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qilish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;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 xml:space="preserve">• Tovar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moddiy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boyliklari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etkazib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kelinganligi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haqida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Iste’molchi»</w:t>
      </w:r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ni</w:t>
      </w:r>
      <w:proofErr w:type="spellEnd"/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xabardor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qiladi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5.2</w:t>
      </w:r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Iste’molchi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majburiyatlari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: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 xml:space="preserve">• Tovar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moddiy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boyliklarini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qabul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qilib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olguncha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 «</w:t>
      </w:r>
      <w:proofErr w:type="spellStart"/>
      <w:proofErr w:type="gramEnd"/>
      <w:r w:rsidRPr="00C213CA">
        <w:rPr>
          <w:rFonts w:ascii="Arial" w:hAnsi="Arial" w:cs="Arial"/>
          <w:sz w:val="24"/>
          <w:szCs w:val="24"/>
          <w:lang w:val="en-US"/>
        </w:rPr>
        <w:t>Ta’minotchi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omborxonasida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obdon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koʻzdan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kechiradi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va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uning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sifatiga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butligiga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yaroqliligiga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e’tibor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beradi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;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 xml:space="preserve">• Agar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tovar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moddiy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boyliklari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talabga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javob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bermasa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ya’ni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sifatsiz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boʻlib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is’temolga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yaroqsiz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boʻlsa</w:t>
      </w:r>
      <w:proofErr w:type="spellEnd"/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,  «</w:t>
      </w:r>
      <w:proofErr w:type="spellStart"/>
      <w:proofErr w:type="gramEnd"/>
      <w:r w:rsidRPr="00C213CA">
        <w:rPr>
          <w:rFonts w:ascii="Arial" w:hAnsi="Arial" w:cs="Arial"/>
          <w:sz w:val="24"/>
          <w:szCs w:val="24"/>
          <w:lang w:val="en-US"/>
        </w:rPr>
        <w:t>Iste’molchi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qabul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qilmaslikga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va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oʻrniga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boshqasini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almashtirib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berishini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talab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qilishga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haqli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boʻladi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 xml:space="preserve">• Tovar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moddiy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boyliklari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Ta’minotchi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omborxonasida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Iste’molchi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tomonidan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qabul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qilingandan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keyin</w:t>
      </w:r>
      <w:proofErr w:type="spellEnd"/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javobgarlik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toʻliq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Iste’molchi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tomoniga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oʻtadi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B54C1F" w:rsidRDefault="00B54C1F" w:rsidP="00B54C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213CA" w:rsidRPr="00B54C1F" w:rsidRDefault="00C213CA" w:rsidP="00B54C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6.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Tomonlarning</w:t>
      </w:r>
      <w:proofErr w:type="spellEnd"/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javobgarligi</w:t>
      </w:r>
      <w:proofErr w:type="spellEnd"/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 xml:space="preserve">6.1.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Tomonlar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koʻrsatilgan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majburiyatlarni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lozim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darajada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bajarmagan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taqdirda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Oʻzbekiston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Respublikasining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Fuqarolik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kodeks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va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29.08.1998-yildagi 670-1-sonli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Xoʻjalik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yurituvchi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sub’ektlar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faoliyatining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shartnomaviy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huquqiy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bazasi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toʻgʻrisida»gi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Qonunining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25-32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bandlari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boʻyicha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javobgar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boʻladilar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 xml:space="preserve">6.2.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Toʻlovlar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muddati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kechiktirilganda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,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Iste’molchi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kechiktirilgan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bir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kun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uchun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0</w:t>
      </w:r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,5</w:t>
      </w:r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miqdorida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lekin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umumiy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summasini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50%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oshmagan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miqdorda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penya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toʻlaydi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 xml:space="preserve">6.3. Tovar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moddiy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boyliklarini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etkazib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berishni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kechiktirganligi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uchun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Ta’minotchi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kechiktirilgan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bir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kun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uchun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0</w:t>
      </w:r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,5</w:t>
      </w:r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 %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miqdorida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lekin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umumiy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summasining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50%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oshmagan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miqdorda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penya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toʻlaydi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>6.4.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Iste’molchi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tomonidan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tovar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moddiy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boyliklari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ishlatilishi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jarayonida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sodir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etilgan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qonun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buzilish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hollari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uchun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«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Ta’minotchi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»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majburiyat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olmaydi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 xml:space="preserve">6.5.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amal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qilish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muddati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tugashi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taraflarni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uni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buzganlik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uchun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javobgarlikdan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ozod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etmaydi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 xml:space="preserve">6.6.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bajarishdan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kursatilgan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xolatlardan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tashkari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bir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taraflama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bosh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tortishga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yoki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bir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taraflama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uzgartirish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kiritishga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yul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kuyilmaydi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.  </w:t>
      </w:r>
    </w:p>
    <w:p w:rsidR="00B54C1F" w:rsidRDefault="00B54C1F" w:rsidP="00B54C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213CA" w:rsidRPr="00B54C1F" w:rsidRDefault="00C213CA" w:rsidP="00B54C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7.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Nizolarni</w:t>
      </w:r>
      <w:proofErr w:type="spellEnd"/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hal</w:t>
      </w:r>
      <w:proofErr w:type="spellEnd"/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etish</w:t>
      </w:r>
      <w:proofErr w:type="spellEnd"/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tartibi</w:t>
      </w:r>
      <w:proofErr w:type="spellEnd"/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 xml:space="preserve">7.1.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Mazkur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boʻyicha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tomonlar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shartlarni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bajarmagan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taqdirda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javobgar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tomon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keltirilgan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moddiy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va</w:t>
      </w:r>
      <w:proofErr w:type="spellEnd"/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ma’naviy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zararlarni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qoplaydi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 xml:space="preserve">7.2.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Tomonlar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oʻrtasada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tuzishda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bajarilishida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oʻzgartirish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va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bekor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qilishda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etkazilgan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zararlarni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qoplashda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yuzaga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keladigan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nizolar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ogohlantirish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va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da’vo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xatlari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tartibida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agarda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murosaga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kelinmasa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iqtisodiy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Sud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orqali</w:t>
      </w:r>
      <w:proofErr w:type="spellEnd"/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hal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qilinadi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B54C1F" w:rsidRDefault="00B54C1F" w:rsidP="00B54C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213CA" w:rsidRPr="00B54C1F" w:rsidRDefault="00C213CA" w:rsidP="00B54C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8.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Korruptsiyaga</w:t>
      </w:r>
      <w:proofErr w:type="spellEnd"/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qarshi</w:t>
      </w:r>
      <w:proofErr w:type="spellEnd"/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kurashish</w:t>
      </w:r>
      <w:proofErr w:type="spellEnd"/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B54C1F">
        <w:rPr>
          <w:rFonts w:ascii="Arial" w:hAnsi="Arial" w:cs="Arial"/>
          <w:b/>
          <w:sz w:val="24"/>
          <w:szCs w:val="24"/>
          <w:lang w:val="en-US"/>
        </w:rPr>
        <w:t>va</w:t>
      </w:r>
      <w:proofErr w:type="spellEnd"/>
      <w:proofErr w:type="gramEnd"/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boshqa</w:t>
      </w:r>
      <w:proofErr w:type="spellEnd"/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shartlar</w:t>
      </w:r>
      <w:proofErr w:type="spellEnd"/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lastRenderedPageBreak/>
        <w:t xml:space="preserve">  </w:t>
      </w:r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8.1.</w:t>
      </w:r>
      <w:r w:rsidR="00B54C1F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Taraflar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boʻyicha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oʻz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majburiyatlarini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bajarayotganda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Oʻzbekiston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Respublikasining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Korruptsiyaga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qarshi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kurshish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toʻgʻrisidagi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qonun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hujjatlarining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talablariga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zid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keladigan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qanday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harakatlarni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amalga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oshirmaydilar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shu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jumladan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pora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berishni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taklif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qilmaydi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tovlamachilik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qilmaydi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bevosita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yoki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bilvosita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pora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olishga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rozilik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bermaydi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yoki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pora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ya’ni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hodimi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oʻz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hizmat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majburiyatlaridan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foydalangan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holda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pora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bergan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shaxsning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manfaatlarini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koʻzlab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muayyan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harakatlarni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sodir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etishi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yoki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sodir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etmasligi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shartligi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uchun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moddiy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qimmatliklarni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yoki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mulkiy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naf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olmaydi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Taraflar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ushbu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harakatlarga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yoʻl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qoʻymaslik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boʻyicha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choralar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koʻrilishiga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kafolat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beradi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>8.2.</w:t>
      </w:r>
      <w:r w:rsidR="00B54C1F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Ikki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tomonning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oʻzaro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yozma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kelishuviga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asosan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mazkur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kiritiladigan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oʻzgarish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va</w:t>
      </w:r>
      <w:proofErr w:type="spellEnd"/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qoʻshimchalar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qonuniy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kuchiga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ega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boʻladi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Oʻzgarish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va</w:t>
      </w:r>
      <w:proofErr w:type="spellEnd"/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qoʻshimchalar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ilova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qilinishi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ham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mumkin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Qilingan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ilova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ikki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tomonning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muhri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va</w:t>
      </w:r>
      <w:proofErr w:type="spellEnd"/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imzosi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bilan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tasdiqlangan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boʻlishi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>8.3.</w:t>
      </w:r>
      <w:r w:rsidR="00B54C1F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Bir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tomonlama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bekor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qilishga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toʻlov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shartlari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bajarilmaganligi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Pr="00C213CA">
        <w:rPr>
          <w:rFonts w:ascii="Arial" w:hAnsi="Arial" w:cs="Arial"/>
          <w:sz w:val="24"/>
          <w:szCs w:val="24"/>
          <w:lang w:val="en-US"/>
        </w:rPr>
        <w:t>va</w:t>
      </w:r>
      <w:proofErr w:type="spellEnd"/>
      <w:proofErr w:type="gram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maxsulot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etkazib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berish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tartiblari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buzilganligi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asos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boʻladi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C213CA" w:rsidRPr="00C213CA" w:rsidRDefault="00C213CA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 w:rsidRPr="00C213CA">
        <w:rPr>
          <w:rFonts w:ascii="Arial" w:hAnsi="Arial" w:cs="Arial"/>
          <w:sz w:val="24"/>
          <w:szCs w:val="24"/>
          <w:lang w:val="en-US"/>
        </w:rPr>
        <w:t>8.4.</w:t>
      </w:r>
      <w:r w:rsidR="00B54C1F"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Shartnomada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koʻrsatilgan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mablagʻdan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ortiqcha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miqdorda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etkazib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berilgan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tovar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moddiy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boyliklari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qiymatidagi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mablagʻni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buyurtmachi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toʻlab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berishni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oʻz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zimmasiga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213CA">
        <w:rPr>
          <w:rFonts w:ascii="Arial" w:hAnsi="Arial" w:cs="Arial"/>
          <w:sz w:val="24"/>
          <w:szCs w:val="24"/>
          <w:lang w:val="en-US"/>
        </w:rPr>
        <w:t>olmaydi</w:t>
      </w:r>
      <w:proofErr w:type="spellEnd"/>
      <w:r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B54C1F" w:rsidRDefault="00B54C1F" w:rsidP="00B54C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213CA" w:rsidRPr="00B54C1F" w:rsidRDefault="00C213CA" w:rsidP="00B54C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9.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Fors</w:t>
      </w:r>
      <w:proofErr w:type="spellEnd"/>
      <w:r w:rsidRPr="00B54C1F">
        <w:rPr>
          <w:rFonts w:ascii="Arial" w:hAnsi="Arial" w:cs="Arial"/>
          <w:b/>
          <w:sz w:val="24"/>
          <w:szCs w:val="24"/>
          <w:lang w:val="en-US"/>
        </w:rPr>
        <w:t>- major</w:t>
      </w:r>
    </w:p>
    <w:p w:rsidR="00C213CA" w:rsidRPr="00C213CA" w:rsidRDefault="00B54C1F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9</w:t>
      </w:r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.1 Agar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shartnoma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tuzilgandan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soʻng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ikki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tomon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oʻz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majburiyatlarini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gʻayri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tabiiy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holatlar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suv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toshqini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yongʻin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er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qimirlashi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C213CA" w:rsidRPr="00C213CA">
        <w:rPr>
          <w:rFonts w:ascii="Arial" w:hAnsi="Arial" w:cs="Arial"/>
          <w:sz w:val="24"/>
          <w:szCs w:val="24"/>
          <w:lang w:val="en-US"/>
        </w:rPr>
        <w:t>va</w:t>
      </w:r>
      <w:proofErr w:type="spellEnd"/>
      <w:proofErr w:type="gram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boshqa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tabiiy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ofatlar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sababli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bajarmasa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hech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qaysi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tomon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toʻla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yoki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qisman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bajarilmagan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majburiyatlar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uchun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javobgar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hisoblanmaydilar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B54C1F" w:rsidRDefault="00B54C1F" w:rsidP="00B54C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C213CA" w:rsidRPr="00B54C1F" w:rsidRDefault="00C213CA" w:rsidP="00B54C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10.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Shartnomaning</w:t>
      </w:r>
      <w:proofErr w:type="spellEnd"/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amal</w:t>
      </w:r>
      <w:proofErr w:type="spellEnd"/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qilish</w:t>
      </w:r>
      <w:proofErr w:type="spellEnd"/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muddati</w:t>
      </w:r>
      <w:proofErr w:type="spellEnd"/>
    </w:p>
    <w:p w:rsidR="00C213CA" w:rsidRPr="00C213CA" w:rsidRDefault="00B54C1F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10</w:t>
      </w:r>
      <w:r w:rsidR="00C213CA" w:rsidRPr="00C213CA">
        <w:rPr>
          <w:rFonts w:ascii="Arial" w:hAnsi="Arial" w:cs="Arial"/>
          <w:sz w:val="24"/>
          <w:szCs w:val="24"/>
          <w:lang w:val="en-US"/>
        </w:rPr>
        <w:t>.1.</w:t>
      </w:r>
      <w:r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Mazkur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shartnoma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gʻaznachilik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boʻlinmasida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roʻyxatga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olingandan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kundan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boshlab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kuchga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kiradi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va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20___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yil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31 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dekabrgacha</w:t>
      </w:r>
      <w:proofErr w:type="spellEnd"/>
      <w:proofErr w:type="gram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amalda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boʻladi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C213CA" w:rsidRPr="00C213CA" w:rsidRDefault="00B54C1F" w:rsidP="00C213C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10</w:t>
      </w:r>
      <w:r w:rsidR="00C213CA" w:rsidRPr="00C213CA">
        <w:rPr>
          <w:rFonts w:ascii="Arial" w:hAnsi="Arial" w:cs="Arial"/>
          <w:sz w:val="24"/>
          <w:szCs w:val="24"/>
          <w:lang w:val="en-US"/>
        </w:rPr>
        <w:t>.2.</w:t>
      </w:r>
      <w:r>
        <w:rPr>
          <w:rFonts w:ascii="Arial" w:hAnsi="Arial" w:cs="Arial"/>
          <w:sz w:val="24"/>
          <w:szCs w:val="24"/>
          <w:lang w:val="en-US"/>
        </w:rPr>
        <w:t> 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Mazkur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shartnoma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2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nusxada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tuzilgan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proofErr w:type="gramStart"/>
      <w:r w:rsidR="00C213CA" w:rsidRPr="00C213CA">
        <w:rPr>
          <w:rFonts w:ascii="Arial" w:hAnsi="Arial" w:cs="Arial"/>
          <w:sz w:val="24"/>
          <w:szCs w:val="24"/>
          <w:lang w:val="en-US"/>
        </w:rPr>
        <w:t>va</w:t>
      </w:r>
      <w:proofErr w:type="spellEnd"/>
      <w:proofErr w:type="gram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har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ikki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tomon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uchun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ham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teng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kuchga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ega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boʻlib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, bank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hisob-kitoblarini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amalga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oshirishga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asos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213CA" w:rsidRPr="00C213CA">
        <w:rPr>
          <w:rFonts w:ascii="Arial" w:hAnsi="Arial" w:cs="Arial"/>
          <w:sz w:val="24"/>
          <w:szCs w:val="24"/>
          <w:lang w:val="en-US"/>
        </w:rPr>
        <w:t>boʻladi</w:t>
      </w:r>
      <w:proofErr w:type="spellEnd"/>
      <w:r w:rsidR="00C213CA" w:rsidRPr="00C213CA">
        <w:rPr>
          <w:rFonts w:ascii="Arial" w:hAnsi="Arial" w:cs="Arial"/>
          <w:sz w:val="24"/>
          <w:szCs w:val="24"/>
          <w:lang w:val="en-US"/>
        </w:rPr>
        <w:t>.</w:t>
      </w:r>
    </w:p>
    <w:p w:rsidR="00B54C1F" w:rsidRDefault="00B54C1F" w:rsidP="00B54C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8A7528" w:rsidRPr="00B54C1F" w:rsidRDefault="00C213CA" w:rsidP="00B54C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B54C1F">
        <w:rPr>
          <w:rFonts w:ascii="Arial" w:hAnsi="Arial" w:cs="Arial"/>
          <w:b/>
          <w:sz w:val="24"/>
          <w:szCs w:val="24"/>
          <w:lang w:val="en-US"/>
        </w:rPr>
        <w:t>11.</w:t>
      </w:r>
      <w:r w:rsidR="00B54C1F" w:rsidRPr="00B54C1F">
        <w:rPr>
          <w:rFonts w:ascii="Arial" w:hAnsi="Arial" w:cs="Arial"/>
          <w:b/>
          <w:sz w:val="24"/>
          <w:szCs w:val="24"/>
          <w:lang w:val="en-US"/>
        </w:rPr>
        <w:t> 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Tomonlarning</w:t>
      </w:r>
      <w:proofErr w:type="spellEnd"/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yuridik</w:t>
      </w:r>
      <w:proofErr w:type="spellEnd"/>
      <w:r w:rsidRPr="00B54C1F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54C1F">
        <w:rPr>
          <w:rFonts w:ascii="Arial" w:hAnsi="Arial" w:cs="Arial"/>
          <w:b/>
          <w:sz w:val="24"/>
          <w:szCs w:val="24"/>
          <w:lang w:val="en-US"/>
        </w:rPr>
        <w:t>manzili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567"/>
        <w:gridCol w:w="4530"/>
      </w:tblGrid>
      <w:tr w:rsidR="00B54C1F" w:rsidRPr="005006F1" w:rsidTr="00B54C1F">
        <w:tc>
          <w:tcPr>
            <w:tcW w:w="4531" w:type="dxa"/>
          </w:tcPr>
          <w:p w:rsidR="00B54C1F" w:rsidRDefault="00B54C1F" w:rsidP="0068618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54C1F">
              <w:rPr>
                <w:rFonts w:ascii="Arial" w:hAnsi="Arial" w:cs="Arial"/>
                <w:b/>
                <w:sz w:val="24"/>
                <w:szCs w:val="24"/>
                <w:lang w:val="en-US"/>
              </w:rPr>
              <w:t>«</w:t>
            </w:r>
            <w:proofErr w:type="spellStart"/>
            <w:r w:rsidRPr="00B54C1F">
              <w:rPr>
                <w:rFonts w:ascii="Arial" w:hAnsi="Arial" w:cs="Arial"/>
                <w:b/>
                <w:sz w:val="24"/>
                <w:szCs w:val="24"/>
                <w:lang w:val="en-US"/>
              </w:rPr>
              <w:t>Ta’minotchi</w:t>
            </w:r>
            <w:proofErr w:type="spellEnd"/>
            <w:r w:rsidRPr="00B54C1F">
              <w:rPr>
                <w:rFonts w:ascii="Arial" w:hAnsi="Arial" w:cs="Arial"/>
                <w:b/>
                <w:sz w:val="24"/>
                <w:szCs w:val="24"/>
                <w:lang w:val="en-US"/>
              </w:rPr>
              <w:t>»</w:t>
            </w:r>
          </w:p>
          <w:p w:rsidR="00B54C1F" w:rsidRPr="008A7528" w:rsidRDefault="00B54C1F" w:rsidP="006861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NOMI</w:t>
            </w:r>
            <w:r w:rsidR="0068618B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__________________________</w:t>
            </w:r>
          </w:p>
          <w:p w:rsidR="00B54C1F" w:rsidRPr="008A7528" w:rsidRDefault="00B54C1F" w:rsidP="006861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MANZIL</w:t>
            </w:r>
            <w:r w:rsidR="0068618B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_______________________</w:t>
            </w:r>
          </w:p>
          <w:p w:rsidR="00B54C1F" w:rsidRPr="008A7528" w:rsidRDefault="00B54C1F" w:rsidP="006861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X\R</w:t>
            </w:r>
            <w:r w:rsidR="0068618B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___________________________</w:t>
            </w:r>
          </w:p>
          <w:p w:rsidR="0068618B" w:rsidRDefault="00B54C1F" w:rsidP="006861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INN</w:t>
            </w:r>
            <w:r w:rsidR="0068618B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B54C1F" w:rsidRPr="008A7528" w:rsidRDefault="00B54C1F" w:rsidP="006861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OKONX</w:t>
            </w:r>
            <w:r w:rsidR="0068618B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68618B">
              <w:rPr>
                <w:rFonts w:ascii="Arial" w:hAnsi="Arial" w:cs="Arial"/>
                <w:sz w:val="24"/>
                <w:szCs w:val="24"/>
                <w:lang w:val="en-US"/>
              </w:rPr>
              <w:t>__________</w:t>
            </w:r>
          </w:p>
          <w:p w:rsidR="00B54C1F" w:rsidRDefault="0068618B" w:rsidP="006861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BANK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MFOsi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="00B54C1F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B54C1F" w:rsidRPr="008A7528">
              <w:rPr>
                <w:rFonts w:ascii="Arial" w:hAnsi="Arial" w:cs="Arial"/>
                <w:sz w:val="24"/>
                <w:szCs w:val="24"/>
                <w:lang w:val="en-US"/>
              </w:rPr>
              <w:t xml:space="preserve">_________________  </w:t>
            </w:r>
          </w:p>
          <w:p w:rsidR="00B54C1F" w:rsidRPr="008A7528" w:rsidRDefault="00B54C1F" w:rsidP="006861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BANK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NOMI</w:t>
            </w:r>
            <w:r w:rsidR="0068618B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____________________</w:t>
            </w:r>
          </w:p>
          <w:p w:rsidR="00B54C1F" w:rsidRPr="008A7528" w:rsidRDefault="00B54C1F" w:rsidP="006861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8618B" w:rsidRDefault="0068618B" w:rsidP="006861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B54C1F" w:rsidRPr="008A7528" w:rsidRDefault="00B54C1F" w:rsidP="006861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RAXBAR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 xml:space="preserve">__________  </w:t>
            </w:r>
            <w:r w:rsidR="0068618B" w:rsidRPr="008A7528">
              <w:rPr>
                <w:rFonts w:ascii="Arial" w:hAnsi="Arial" w:cs="Arial"/>
                <w:sz w:val="24"/>
                <w:szCs w:val="24"/>
                <w:lang w:val="en-US"/>
              </w:rPr>
              <w:t>__________</w:t>
            </w: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__</w:t>
            </w:r>
            <w:r w:rsidR="0068618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B54C1F" w:rsidRPr="00B54C1F" w:rsidRDefault="0068618B" w:rsidP="0068618B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</w:t>
            </w:r>
            <w:r w:rsidR="00B54C1F" w:rsidRPr="008A7528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="00B54C1F" w:rsidRPr="008A7528">
              <w:rPr>
                <w:rFonts w:ascii="Arial" w:hAnsi="Arial" w:cs="Arial"/>
                <w:sz w:val="24"/>
                <w:szCs w:val="24"/>
                <w:lang w:val="en-US"/>
              </w:rPr>
              <w:t>imzo</w:t>
            </w:r>
            <w:proofErr w:type="spellEnd"/>
            <w:r w:rsidR="00B54C1F" w:rsidRPr="008A7528">
              <w:rPr>
                <w:rFonts w:ascii="Arial" w:hAnsi="Arial" w:cs="Arial"/>
                <w:sz w:val="24"/>
                <w:szCs w:val="24"/>
                <w:lang w:val="en-US"/>
              </w:rPr>
              <w:t xml:space="preserve">)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="00B54C1F" w:rsidRPr="008A7528">
              <w:rPr>
                <w:rFonts w:ascii="Arial" w:hAnsi="Arial" w:cs="Arial"/>
                <w:sz w:val="24"/>
                <w:szCs w:val="24"/>
                <w:lang w:val="en-US"/>
              </w:rPr>
              <w:t xml:space="preserve">   (</w:t>
            </w:r>
            <w:proofErr w:type="spellStart"/>
            <w:r w:rsidR="00B54C1F" w:rsidRPr="008A7528">
              <w:rPr>
                <w:rFonts w:ascii="Arial" w:hAnsi="Arial" w:cs="Arial"/>
                <w:sz w:val="24"/>
                <w:szCs w:val="24"/>
                <w:lang w:val="en-US"/>
              </w:rPr>
              <w:t>f.i.o</w:t>
            </w:r>
            <w:proofErr w:type="spellEnd"/>
            <w:r w:rsidR="00B54C1F" w:rsidRPr="008A7528">
              <w:rPr>
                <w:rFonts w:ascii="Arial" w:hAnsi="Arial" w:cs="Arial"/>
                <w:sz w:val="24"/>
                <w:szCs w:val="24"/>
                <w:lang w:val="en-US"/>
              </w:rPr>
              <w:t xml:space="preserve"> )</w:t>
            </w:r>
          </w:p>
        </w:tc>
        <w:tc>
          <w:tcPr>
            <w:tcW w:w="567" w:type="dxa"/>
          </w:tcPr>
          <w:p w:rsidR="00B54C1F" w:rsidRDefault="00B54C1F" w:rsidP="00C213C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0" w:type="dxa"/>
          </w:tcPr>
          <w:p w:rsidR="0068618B" w:rsidRDefault="0068618B" w:rsidP="0068618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54C1F">
              <w:rPr>
                <w:rFonts w:ascii="Arial" w:hAnsi="Arial" w:cs="Arial"/>
                <w:b/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Iste</w:t>
            </w:r>
            <w:r w:rsidRPr="00B54C1F">
              <w:rPr>
                <w:rFonts w:ascii="Arial" w:hAnsi="Arial" w:cs="Arial"/>
                <w:b/>
                <w:sz w:val="24"/>
                <w:szCs w:val="24"/>
                <w:lang w:val="en-US"/>
              </w:rPr>
              <w:t>’mo</w:t>
            </w: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l</w:t>
            </w:r>
            <w:r w:rsidRPr="00B54C1F">
              <w:rPr>
                <w:rFonts w:ascii="Arial" w:hAnsi="Arial" w:cs="Arial"/>
                <w:b/>
                <w:sz w:val="24"/>
                <w:szCs w:val="24"/>
                <w:lang w:val="en-US"/>
              </w:rPr>
              <w:t>chi</w:t>
            </w:r>
            <w:proofErr w:type="spellEnd"/>
            <w:r w:rsidRPr="00B54C1F">
              <w:rPr>
                <w:rFonts w:ascii="Arial" w:hAnsi="Arial" w:cs="Arial"/>
                <w:b/>
                <w:sz w:val="24"/>
                <w:szCs w:val="24"/>
                <w:lang w:val="en-US"/>
              </w:rPr>
              <w:t>»</w:t>
            </w:r>
          </w:p>
          <w:p w:rsidR="0068618B" w:rsidRPr="008A7528" w:rsidRDefault="0068618B" w:rsidP="006861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NOMI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__________________________</w:t>
            </w:r>
          </w:p>
          <w:p w:rsidR="0068618B" w:rsidRPr="008A7528" w:rsidRDefault="0068618B" w:rsidP="006861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MANZIL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_______________________</w:t>
            </w:r>
          </w:p>
          <w:p w:rsidR="0068618B" w:rsidRDefault="0068618B" w:rsidP="006861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SH</w:t>
            </w: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V: </w:t>
            </w: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_________________________</w:t>
            </w:r>
          </w:p>
          <w:p w:rsidR="0068618B" w:rsidRPr="008A7528" w:rsidRDefault="0068618B" w:rsidP="006861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INN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__________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OKONX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: _________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en-US"/>
              </w:rPr>
              <w:t>_</w:t>
            </w:r>
          </w:p>
          <w:p w:rsidR="0068618B" w:rsidRPr="008A7528" w:rsidRDefault="0068618B" w:rsidP="0068618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OʻzR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Moliya</w:t>
            </w:r>
            <w:proofErr w:type="spellEnd"/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vazirligi</w:t>
            </w:r>
            <w:proofErr w:type="spellEnd"/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G‘aznachiligi</w:t>
            </w:r>
            <w:proofErr w:type="spellEnd"/>
          </w:p>
          <w:p w:rsidR="0068618B" w:rsidRPr="008A7528" w:rsidRDefault="0068618B" w:rsidP="0068618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 xml:space="preserve">INN: 201122919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BANK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MFOsi</w:t>
            </w:r>
            <w:proofErr w:type="spellEnd"/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 xml:space="preserve"> 00014</w:t>
            </w:r>
          </w:p>
          <w:p w:rsidR="0068618B" w:rsidRPr="008A7528" w:rsidRDefault="0068618B" w:rsidP="0068618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 xml:space="preserve">Toshkent </w:t>
            </w:r>
            <w:proofErr w:type="spellStart"/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shahar</w:t>
            </w:r>
            <w:proofErr w:type="spellEnd"/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 xml:space="preserve"> M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B</w:t>
            </w: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 xml:space="preserve"> HKKM</w:t>
            </w:r>
          </w:p>
          <w:p w:rsidR="0068618B" w:rsidRPr="008A7528" w:rsidRDefault="0068618B" w:rsidP="0068618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x/r: 23402000300100001010</w:t>
            </w:r>
          </w:p>
          <w:p w:rsidR="0068618B" w:rsidRPr="008A7528" w:rsidRDefault="0068618B" w:rsidP="006861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68618B" w:rsidRPr="008A7528" w:rsidRDefault="0068618B" w:rsidP="0068618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RAXBAR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__________  ____________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B54C1F" w:rsidRDefault="0068618B" w:rsidP="0068618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</w:t>
            </w: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imzo</w:t>
            </w:r>
            <w:proofErr w:type="spellEnd"/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 xml:space="preserve">)        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</w:t>
            </w:r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 xml:space="preserve">   (</w:t>
            </w:r>
            <w:proofErr w:type="spellStart"/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>f.i.o</w:t>
            </w:r>
            <w:proofErr w:type="spellEnd"/>
            <w:r w:rsidRPr="008A7528">
              <w:rPr>
                <w:rFonts w:ascii="Arial" w:hAnsi="Arial" w:cs="Arial"/>
                <w:sz w:val="24"/>
                <w:szCs w:val="24"/>
                <w:lang w:val="en-US"/>
              </w:rPr>
              <w:t xml:space="preserve"> )</w:t>
            </w:r>
          </w:p>
        </w:tc>
      </w:tr>
    </w:tbl>
    <w:p w:rsidR="00B30492" w:rsidRPr="005006F1" w:rsidRDefault="00B30492" w:rsidP="0068618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sectPr w:rsidR="00B30492" w:rsidRPr="005006F1" w:rsidSect="008A7528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28"/>
    <w:rsid w:val="005006F1"/>
    <w:rsid w:val="0068618B"/>
    <w:rsid w:val="008A7528"/>
    <w:rsid w:val="00B30492"/>
    <w:rsid w:val="00B54C1F"/>
    <w:rsid w:val="00C2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A2FDB"/>
  <w15:chartTrackingRefBased/>
  <w15:docId w15:val="{3B82B38B-798D-423B-8ECF-DAB3374D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Surxondaryo viloyati hokimligi</Company>
  <LinksUpToDate>false</LinksUpToDate>
  <CharactersWithSpaces>8762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Tangirqulov Ixtiyor</dc:creator>
  <cp:keywords/>
  <dc:description/>
  <cp:lastModifiedBy>Tangirqulov Ixtiyor</cp:lastModifiedBy>
  <cp:revision>2</cp:revision>
  <dcterms:created xsi:type="dcterms:W3CDTF">2022-07-27T15:22:00Z</dcterms:created>
  <dcterms:modified xsi:type="dcterms:W3CDTF">2022-07-27T15:22:00Z</dcterms:modified>
</cp:coreProperties>
</file>