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AC583C" w:rsidRPr="003B00AE">
        <w:rPr>
          <w:b/>
          <w:sz w:val="20"/>
          <w:szCs w:val="21"/>
          <w:lang w:val="uz-Cyrl-UZ"/>
        </w:rPr>
        <w:t>____________________________________________________</w:t>
      </w:r>
      <w:r w:rsidR="00AC583C"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>рахбари</w:t>
      </w:r>
      <w:r w:rsidR="00AC583C" w:rsidRPr="00AC583C">
        <w:rPr>
          <w:b/>
          <w:sz w:val="20"/>
          <w:szCs w:val="21"/>
          <w:lang w:val="uz-Cyrl-UZ"/>
        </w:rPr>
        <w:t xml:space="preserve"> </w:t>
      </w:r>
      <w:r w:rsidR="00AC583C" w:rsidRPr="003B00AE">
        <w:rPr>
          <w:b/>
          <w:sz w:val="20"/>
          <w:szCs w:val="21"/>
          <w:lang w:val="uz-Cyrl-UZ"/>
        </w:rPr>
        <w:t>__________________________</w:t>
      </w:r>
      <w:r w:rsidR="00AC583C"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DA0DB8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1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2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3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DA0DB8" w:rsidRPr="003B00AE" w:rsidTr="00B51D9F">
        <w:trPr>
          <w:trHeight w:val="223"/>
        </w:trPr>
        <w:tc>
          <w:tcPr>
            <w:tcW w:w="581" w:type="dxa"/>
            <w:vAlign w:val="center"/>
          </w:tcPr>
          <w:p w:rsidR="00DA0DB8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4</w:t>
            </w:r>
          </w:p>
        </w:tc>
        <w:tc>
          <w:tcPr>
            <w:tcW w:w="3780" w:type="dxa"/>
            <w:vAlign w:val="center"/>
          </w:tcPr>
          <w:p w:rsidR="00DA0DB8" w:rsidRPr="0001138F" w:rsidRDefault="00DA0DB8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proofErr w:type="gramStart"/>
            <w:r w:rsidRPr="00B51D9F">
              <w:rPr>
                <w:b/>
                <w:szCs w:val="21"/>
              </w:rPr>
              <w:t>м</w:t>
            </w:r>
            <w:proofErr w:type="gramEnd"/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>»</w:t>
      </w:r>
      <w:proofErr w:type="spellStart"/>
      <w:r w:rsidRPr="003B00AE">
        <w:rPr>
          <w:sz w:val="20"/>
          <w:szCs w:val="21"/>
        </w:rPr>
        <w:t>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r w:rsidRPr="003B00AE">
        <w:rPr>
          <w:sz w:val="20"/>
          <w:szCs w:val="21"/>
        </w:rPr>
        <w:t>Харидор</w:t>
      </w:r>
      <w:proofErr w:type="spellEnd"/>
      <w:r w:rsidRPr="003B00AE">
        <w:rPr>
          <w:sz w:val="20"/>
          <w:szCs w:val="21"/>
        </w:rPr>
        <w:t xml:space="preserve">»га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r w:rsidRPr="003B00AE">
        <w:rPr>
          <w:sz w:val="20"/>
          <w:szCs w:val="21"/>
        </w:rPr>
        <w:t>Харидор</w:t>
      </w:r>
      <w:proofErr w:type="spellEnd"/>
      <w:r w:rsidRPr="003B00AE">
        <w:rPr>
          <w:sz w:val="20"/>
          <w:szCs w:val="21"/>
        </w:rPr>
        <w:t>»</w:t>
      </w:r>
      <w:proofErr w:type="spellStart"/>
      <w:r w:rsidRPr="003B00AE">
        <w:rPr>
          <w:sz w:val="20"/>
          <w:szCs w:val="21"/>
        </w:rPr>
        <w:t>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уни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хужалик</w:t>
      </w:r>
      <w:proofErr w:type="spellEnd"/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 xml:space="preserve">Ҳ А </w:t>
      </w:r>
      <w:proofErr w:type="gramStart"/>
      <w:r w:rsidR="004C1AA6" w:rsidRPr="005C2CBF">
        <w:rPr>
          <w:b/>
          <w:sz w:val="26"/>
          <w:szCs w:val="26"/>
          <w:lang w:val="uz-Cyrl-UZ"/>
        </w:rPr>
        <w:t>Р</w:t>
      </w:r>
      <w:proofErr w:type="gramEnd"/>
      <w:r w:rsidR="004C1AA6" w:rsidRPr="005C2CBF">
        <w:rPr>
          <w:b/>
          <w:sz w:val="26"/>
          <w:szCs w:val="26"/>
          <w:lang w:val="uz-Cyrl-UZ"/>
        </w:rPr>
        <w:t xml:space="preserve"> И Д О 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r w:rsidRPr="00136443">
        <w:rPr>
          <w:b/>
          <w:sz w:val="28"/>
          <w:szCs w:val="28"/>
        </w:rPr>
        <w:t>»</w:t>
      </w:r>
    </w:p>
    <w:p w:rsidR="00ED3000" w:rsidRDefault="008D5F84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bookmarkStart w:id="0" w:name="_GoBack"/>
      <w:bookmarkEnd w:id="0"/>
      <w:r>
        <w:rPr>
          <w:b/>
          <w:noProof/>
        </w:rPr>
        <w:pict>
          <v:rect id="Rectangle 1" o:spid="_x0000_s1026" style="position:absolute;left:0;text-align:left;margin-left:5.25pt;margin-top:7.7pt;width:242.1pt;height:172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<v:textbox>
              <w:txbxContent>
                <w:p w:rsidR="00496115" w:rsidRPr="004145E9" w:rsidRDefault="00496115" w:rsidP="00496115">
                  <w:pPr>
                    <w:pStyle w:val="a4"/>
                    <w:spacing w:before="0" w:beforeAutospacing="0" w:after="0" w:afterAutospacing="0"/>
                    <w:rPr>
                      <w:sz w:val="20"/>
                    </w:rPr>
                  </w:pPr>
                  <w:r w:rsidRPr="004145E9">
                    <w:rPr>
                      <w:b/>
                      <w:sz w:val="32"/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ED3000" w:rsidRPr="003B00AE" w:rsidRDefault="00ED3000" w:rsidP="00ED3000">
                  <w:pPr>
                    <w:rPr>
                      <w:b/>
                      <w:sz w:val="6"/>
                      <w:szCs w:val="16"/>
                      <w:lang w:val="uz-Cyrl-UZ"/>
                    </w:rPr>
                  </w:pPr>
                </w:p>
              </w:txbxContent>
            </v:textbox>
          </v:rect>
        </w:pict>
      </w:r>
      <w:r>
        <w:rPr>
          <w:b/>
          <w:noProof/>
        </w:rPr>
        <w:pict>
          <v:rect id="_x0000_s1027" style="position:absolute;left:0;text-align:left;margin-left:253.35pt;margin-top:7.7pt;width:255.75pt;height:172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<v:textbox>
              <w:txbxContent>
                <w:p w:rsidR="00ED3000" w:rsidRPr="004145E9" w:rsidRDefault="00ED3000" w:rsidP="00ED3000">
                  <w:pPr>
                    <w:pStyle w:val="a4"/>
                    <w:spacing w:before="0" w:beforeAutospacing="0" w:after="0" w:afterAutospacing="0"/>
                    <w:rPr>
                      <w:sz w:val="20"/>
                    </w:rPr>
                  </w:pPr>
                  <w:r w:rsidRPr="004145E9">
                    <w:rPr>
                      <w:b/>
                      <w:sz w:val="32"/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6115"/>
    <w:rsid w:val="00497361"/>
    <w:rsid w:val="004A0807"/>
    <w:rsid w:val="004A5E83"/>
    <w:rsid w:val="004A754D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13129"/>
    <w:rsid w:val="00530A3A"/>
    <w:rsid w:val="005325ED"/>
    <w:rsid w:val="005532EF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D5F8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C583C"/>
    <w:rsid w:val="00AD0FC0"/>
    <w:rsid w:val="00AF2070"/>
    <w:rsid w:val="00B02BA3"/>
    <w:rsid w:val="00B14BAA"/>
    <w:rsid w:val="00B32A3A"/>
    <w:rsid w:val="00B337A9"/>
    <w:rsid w:val="00B36374"/>
    <w:rsid w:val="00B36F50"/>
    <w:rsid w:val="00B42D96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B5B50"/>
    <w:rsid w:val="00BC01BB"/>
    <w:rsid w:val="00BC0DAE"/>
    <w:rsid w:val="00BC13DA"/>
    <w:rsid w:val="00BC243B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0DB8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F64"/>
    <w:rsid w:val="00FF4571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F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Пользователь Windows</cp:lastModifiedBy>
  <cp:revision>2</cp:revision>
  <cp:lastPrinted>2021-12-22T07:28:00Z</cp:lastPrinted>
  <dcterms:created xsi:type="dcterms:W3CDTF">2022-10-18T06:32:00Z</dcterms:created>
  <dcterms:modified xsi:type="dcterms:W3CDTF">2022-10-18T06:32:00Z</dcterms:modified>
</cp:coreProperties>
</file>