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8A0A0A">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008A0A0A">
        <w:rPr>
          <w:b/>
          <w:sz w:val="22"/>
          <w:szCs w:val="22"/>
          <w:lang w:val="uz-Cyrl-UZ"/>
        </w:rPr>
        <w:t>Исаев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8A0A0A" w:rsidRPr="008A0A0A">
        <w:rPr>
          <w:sz w:val="22"/>
          <w:szCs w:val="22"/>
          <w:lang w:val="uz-Cyrl-UZ"/>
        </w:rPr>
        <w:t xml:space="preserve">Ўзбекистон Республикаси Президентининг  </w:t>
      </w:r>
      <w:r w:rsidR="008A0A0A">
        <w:rPr>
          <w:sz w:val="22"/>
          <w:szCs w:val="22"/>
          <w:lang w:val="uz-Cyrl-UZ"/>
        </w:rPr>
        <w:t xml:space="preserve">              </w:t>
      </w:r>
      <w:r w:rsidR="008A0A0A" w:rsidRPr="008A0A0A">
        <w:rPr>
          <w:sz w:val="22"/>
          <w:szCs w:val="22"/>
          <w:lang w:val="uz-Cyrl-UZ"/>
        </w:rPr>
        <w:t>2022 йил 25 октябрдаги</w:t>
      </w:r>
      <w:r w:rsidR="008A0A0A">
        <w:rPr>
          <w:sz w:val="22"/>
          <w:szCs w:val="22"/>
          <w:lang w:val="uz-Cyrl-UZ"/>
        </w:rPr>
        <w:t xml:space="preserve"> </w:t>
      </w:r>
      <w:r w:rsidR="008A0A0A" w:rsidRPr="008A0A0A">
        <w:rPr>
          <w:sz w:val="22"/>
          <w:szCs w:val="22"/>
          <w:lang w:val="uz-Cyrl-UZ"/>
        </w:rPr>
        <w:t>ПҚ-408-сонли қарори</w:t>
      </w:r>
      <w:r w:rsidR="00AF6CD4" w:rsidRPr="008A0A0A">
        <w:rPr>
          <w:sz w:val="22"/>
          <w:szCs w:val="22"/>
          <w:lang w:val="uz-Cyrl-UZ"/>
        </w:rPr>
        <w:t>,</w:t>
      </w:r>
      <w:r w:rsidR="00AF6CD4" w:rsidRPr="00AF6CD4">
        <w:rPr>
          <w:sz w:val="22"/>
          <w:szCs w:val="22"/>
          <w:lang w:val="uz-Cyrl-UZ"/>
        </w:rPr>
        <w:t xml:space="preserve">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EA2C72">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6258AD" w:rsidRPr="006258AD">
        <w:rPr>
          <w:b/>
          <w:color w:val="FF0000"/>
          <w:sz w:val="22"/>
          <w:szCs w:val="22"/>
          <w:lang w:val="uz-Cyrl-UZ"/>
        </w:rPr>
        <w:t>Аҳиллик МФЙ Университет кўчасидаги (4К700 автойўлининг 2+312 км) "Бўз сув" канали устидан ўтувчи кўприкни тўла таъмирлаш</w:t>
      </w:r>
      <w:r w:rsidR="008A0A0A" w:rsidRPr="008A0A0A">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6258AD" w:rsidRPr="006258AD">
        <w:rPr>
          <w:b/>
          <w:color w:val="FF0000"/>
          <w:sz w:val="22"/>
          <w:szCs w:val="22"/>
          <w:lang w:val="uz-Cyrl-UZ"/>
        </w:rPr>
        <w:t>Аҳиллик МФЙ Университет кўчасидаги (4К700 автойўлининг 2+312 км) "Бўз сув" канали устидан ўтувчи кўприкни тўла таъмирлаш</w:t>
      </w:r>
      <w:bookmarkStart w:id="0" w:name="_GoBack"/>
      <w:bookmarkEnd w:id="0"/>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D8" w:rsidRDefault="00F42FD8">
      <w:r>
        <w:separator/>
      </w:r>
    </w:p>
  </w:endnote>
  <w:endnote w:type="continuationSeparator" w:id="0">
    <w:p w:rsidR="00F42FD8" w:rsidRDefault="00F4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F42FD8">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F42FD8">
    <w:pPr>
      <w:pStyle w:val="a8"/>
      <w:widowControl/>
      <w:jc w:val="center"/>
      <w:rPr>
        <w:rFonts w:ascii="Arial" w:hAnsi="Arial"/>
        <w:sz w:val="20"/>
      </w:rPr>
    </w:pPr>
  </w:p>
  <w:p w:rsidR="00093E9F" w:rsidRDefault="00F42FD8">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D8" w:rsidRDefault="00F42FD8">
      <w:r>
        <w:separator/>
      </w:r>
    </w:p>
  </w:footnote>
  <w:footnote w:type="continuationSeparator" w:id="0">
    <w:p w:rsidR="00F42FD8" w:rsidRDefault="00F42F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F42FD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7201C"/>
    <w:rsid w:val="00574FBE"/>
    <w:rsid w:val="00594263"/>
    <w:rsid w:val="005A0844"/>
    <w:rsid w:val="005C7171"/>
    <w:rsid w:val="005D33B4"/>
    <w:rsid w:val="006258AD"/>
    <w:rsid w:val="00653F27"/>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0A0A"/>
    <w:rsid w:val="008A42BC"/>
    <w:rsid w:val="008B18C6"/>
    <w:rsid w:val="008B338E"/>
    <w:rsid w:val="008B4380"/>
    <w:rsid w:val="00904432"/>
    <w:rsid w:val="0092723B"/>
    <w:rsid w:val="009634CD"/>
    <w:rsid w:val="00965404"/>
    <w:rsid w:val="00981FD5"/>
    <w:rsid w:val="00986882"/>
    <w:rsid w:val="009A1BDA"/>
    <w:rsid w:val="009D0D31"/>
    <w:rsid w:val="009E25E4"/>
    <w:rsid w:val="009E487C"/>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53C48"/>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42FD8"/>
    <w:rsid w:val="00F63B68"/>
    <w:rsid w:val="00F6400B"/>
    <w:rsid w:val="00F92719"/>
    <w:rsid w:val="00FA70CD"/>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4946-2425-4F7E-B72E-BFEB9885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2021-10-19T06:04:00Z</cp:lastPrinted>
  <dcterms:created xsi:type="dcterms:W3CDTF">2022-11-07T08:46:00Z</dcterms:created>
  <dcterms:modified xsi:type="dcterms:W3CDTF">2022-11-07T08:46:00Z</dcterms:modified>
</cp:coreProperties>
</file>