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39"/>
        <w:tblW w:w="10314" w:type="dxa"/>
        <w:tblLayout w:type="fixed"/>
        <w:tblLook w:val="04A0"/>
      </w:tblPr>
      <w:tblGrid>
        <w:gridCol w:w="990"/>
        <w:gridCol w:w="3625"/>
        <w:gridCol w:w="1380"/>
        <w:gridCol w:w="1626"/>
        <w:gridCol w:w="1559"/>
        <w:gridCol w:w="1134"/>
      </w:tblGrid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ШАРТНОМА №____________</w:t>
            </w: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2022"_______" 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Навоий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шахар</w:t>
            </w:r>
            <w:proofErr w:type="spellEnd"/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________________________ 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>(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e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>йинги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ўринларда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Бажарувчи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деб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юритилади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)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номидан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Низом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асосида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фаолият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юритувчи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раҳбар ___________ ҳамда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иккинчи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томондан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_____________________________ ("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деб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юритилади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)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номидан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Низом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асосида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фаолият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юритувчи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раҳбар ________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ушбу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қуйидагича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туздилар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:</w:t>
            </w:r>
            <w:proofErr w:type="gramEnd"/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1.1      Ушбу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бўйича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Бажарувчи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proofErr w:type="gram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н</w:t>
            </w:r>
            <w:proofErr w:type="gram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инг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буюртмасига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асосан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хизмат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курсатади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" 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эса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ушбу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курсатиладиган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хизматларни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белгиланган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тартибда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қабул қилиб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1.2. 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Бажарувчи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5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   (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Бажариладиган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номи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,м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>аркаси,артикули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5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Т/р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товар (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иш-хизмат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)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номи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Ўлчов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бирлиги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Хажми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(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микдори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Нархи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Умумий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суммаси</w:t>
            </w:r>
            <w:proofErr w:type="spellEnd"/>
          </w:p>
        </w:tc>
      </w:tr>
      <w:tr w:rsidR="00175163" w:rsidRPr="00175163" w:rsidTr="00D81463">
        <w:trPr>
          <w:trHeight w:val="45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175163" w:rsidRPr="00175163" w:rsidTr="00D81463">
        <w:trPr>
          <w:trHeight w:val="4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751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Жами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-     </w:t>
            </w: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51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Сумма: ________________________________________________________________________________________ </w:t>
            </w:r>
            <w:proofErr w:type="spellStart"/>
            <w:r w:rsidRPr="001751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</w:t>
            </w:r>
            <w:proofErr w:type="spellEnd"/>
            <w:r w:rsidRPr="001751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сўз</w:t>
            </w:r>
            <w:proofErr w:type="spellEnd"/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ёзилади</w:t>
            </w:r>
            <w:proofErr w:type="spellEnd"/>
            <w:r w:rsidRPr="0017516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2.ТАРАФЛАРНИНГ        МАЖБУРИЯТЛАРИ.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Бажарувчи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мажбуриятлари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2.1.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унга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оид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хужжатларни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ушбу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асосида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" 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га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сифатли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ўз</w:t>
            </w:r>
            <w:proofErr w:type="spellEnd"/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вақтида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топшириш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мажбуриятлари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2.2.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3 кун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кўздан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мазкур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талабларига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мос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келмаслиги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аникланган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такдирда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, 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шу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Бажарувчи</w:t>
            </w:r>
            <w:proofErr w:type="spellEnd"/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"г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а аниқланган номувофиқлиликлар хақида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маълумотномаларни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5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акс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эттирувчи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хабарнома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(рекламация)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юборади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2.3.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белгиланган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бахода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хақини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тўлайди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3.ШАРТНОМА СУММАСИ ВА ХИСОБ - КИТОБ ТАРТИБИ.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3.1.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Мазкур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суммаси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- ___________________________________________________________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сум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сумни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ташкил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бирлиги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сўмда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хақ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тўланади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3.2.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Мазкур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буйича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хисоб-китоблар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пулни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кўчириш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йўли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олдиндан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30%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қолган қисмини 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қабул  қилинган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бошлаб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3  кун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давомида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тулаш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йули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қолган қисмини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қабул қилинган </w:t>
            </w:r>
          </w:p>
        </w:tc>
      </w:tr>
      <w:tr w:rsidR="00175163" w:rsidRPr="00175163" w:rsidTr="00D81463">
        <w:trPr>
          <w:trHeight w:val="285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бошлаб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3 кун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давомида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тулаш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йули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амалга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оширилади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3.3. </w:t>
            </w: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Бажарувчи</w:t>
            </w:r>
            <w:proofErr w:type="spellEnd"/>
            <w:proofErr w:type="gram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>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айби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" 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ўздан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имкониятига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бўлмаган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тақдирда,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у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хақини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тўлашни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кечиктиришга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хақли.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 xml:space="preserve">                4.ИШНИ ТОПШИРИШ ШАРТЛАРИ.</w:t>
            </w: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4.1.Иш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бажарилгандан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сунг</w:t>
            </w:r>
            <w:proofErr w:type="spellEnd"/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proofErr w:type="gram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Бажарувчи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" 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топшириш-қабул қилиш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далолатномаси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тузиб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имзолайди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муҳрланади.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4.2.Таъмирланган оргтехника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тасодифан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нобуд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булиши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ёки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тасофидан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шикастланиши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хавфи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топширилган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пайтдан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бошлаб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Буюртачи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" га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ўтади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.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4.3.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топширишдан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бошлаб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келишилган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кадар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сифатигакафолат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беради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алмаштиришни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ўз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зиммасига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4.4 Ушбу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шартларига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мувофиқ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жойидан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топширилади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5.ШАРТНОМАНИ АМАЛ  КИЛИШ   МУДДАТИ.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5,1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томонидан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имзоланиб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,У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чқудуқ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тумани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буйича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Ғазначилик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булинмасидан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руйхатдан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</w:p>
        </w:tc>
      </w:tr>
      <w:tr w:rsidR="00175163" w:rsidRPr="00175163" w:rsidTr="00D81463">
        <w:trPr>
          <w:trHeight w:val="2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утказилгандан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конуний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кучга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киради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2022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йил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"31"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декабргача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амал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6.ТАРАФЛАРНИНГ ЖАВОБГАРЛИГИ.</w:t>
            </w: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6.1.Ишни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топшириш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муддатини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бузганлик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айбдор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тараф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иккинчи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етказилган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зарарни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тўли</w:t>
            </w:r>
            <w:r w:rsidRPr="00175163">
              <w:rPr>
                <w:rFonts w:ascii="Calibri" w:eastAsia="Times New Roman" w:hAnsi="Calibri" w:cs="Calibri"/>
                <w:lang w:eastAsia="ru-RU"/>
              </w:rPr>
              <w:t>қ</w:t>
            </w:r>
          </w:p>
        </w:tc>
      </w:tr>
      <w:tr w:rsidR="00175163" w:rsidRPr="00175163" w:rsidTr="00D81463">
        <w:trPr>
          <w:trHeight w:val="285"/>
        </w:trPr>
        <w:tc>
          <w:tcPr>
            <w:tcW w:w="5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Calibri" w:eastAsia="Times New Roman" w:hAnsi="Calibri" w:cs="Calibri"/>
                <w:lang w:eastAsia="ru-RU"/>
              </w:rPr>
              <w:t>қ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оплайди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20%  миқдорда 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жарима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тўлайди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6.2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Тўловни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кечиктирилганлиги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  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Бажарувчи</w:t>
            </w:r>
            <w:proofErr w:type="spellEnd"/>
            <w:proofErr w:type="gram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>г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кечиктирилган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кун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тўловни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кечиктирилган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қийматининг 0,5%  миқдорида,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лекин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ушбу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сумманинг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50 % 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дан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ошмайдиган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микдорда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тавон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(пеня)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тўлайди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6.3.Неустойкани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бўйича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ўз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мажбуриятларини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бажаришдан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озод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қилмайди.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6.4.Ушбу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олдин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бекор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қилганлик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суммасининг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2%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микдорида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жаримавий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неустойка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тўлайди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6.5.Мазкур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назарда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тутилмаган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жавобгарлиги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Узбекистон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Республикасининг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амалдаги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конун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хужжатларига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мувофик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белгиланади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7.НИЗОЛАРНИНГ ХАЛ КИЛИШ.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7.1.Ушбу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юзасидан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уртасида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келиб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чикадиган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низо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зиддиятоар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уртасида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уртасида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музокоралар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йули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хал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7.2.Музокоралар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йули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низони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хал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имконияти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булмаган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такдирда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низо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талабнома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билдириш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тартибига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риоя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килинганидан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кейин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хужалик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судига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куриб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чикиш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учун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топширилади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8. ФОРС-МАЖОР  ВА   ЖАВОБГАРЛИКДАН  ОЗОД ЭТИШ.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8.1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Томонларнинг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хохиш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-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истагига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мутлақо  боғлиқ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бўлмаган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ҳолларда (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Нокулай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о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б-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ҳаво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шароитлари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,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зилзила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сув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тошқини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бошқа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табиий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офатлар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(форс-мажор)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туфайли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бажарилмаган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ёки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кисман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бажарилмаган</w:t>
            </w:r>
            <w:proofErr w:type="spellEnd"/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(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етказиб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берилмаган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ёки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тулаб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берилмаган</w:t>
            </w:r>
            <w:proofErr w:type="spellEnd"/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)л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иги,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шартларини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ижро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бузилган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деб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хисобланмайди</w:t>
            </w:r>
            <w:proofErr w:type="spellEnd"/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ушбу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холатда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томонларни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келишилган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кечиктирилади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uz-Cyrl-UZ"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</w:t>
            </w:r>
          </w:p>
          <w:p w:rsidR="00175163" w:rsidRPr="00175163" w:rsidRDefault="00175163" w:rsidP="00D814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9.БОШКА ШАРТЛАР.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lastRenderedPageBreak/>
              <w:t xml:space="preserve">9.1.Шартнома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узаро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келишувига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мувофик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ёки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тараф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шартларини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жиддий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равишда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бузган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такдирда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иккинчи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талаби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фақат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хўжалик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судининг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қарорига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биноан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бекор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қилининиши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ўзгартирилиши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мумкин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.Ш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>артномани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бекор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килиш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ёзма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таклиф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йули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билан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амалгаоширилади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.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Таклиф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олингандан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30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кунлик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ичида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унга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жавоб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олинмаган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такдирда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шартномани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ўзгартириш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бекор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қ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илиш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ҳақидаги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талабни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судга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тақдим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этиши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мумкин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..</w:t>
            </w: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9.2.Тарафлар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узларининг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юридик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манзиллари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бошка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реквизитлари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узгарганлиги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хакида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бир-бирларини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</w:p>
        </w:tc>
      </w:tr>
      <w:tr w:rsidR="00175163" w:rsidRPr="00175163" w:rsidTr="00D81463">
        <w:trPr>
          <w:trHeight w:val="285"/>
        </w:trPr>
        <w:tc>
          <w:tcPr>
            <w:tcW w:w="5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3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кунлик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муддатда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хабардор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килишлари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шарт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9.3.Шартномага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кандай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узгартириш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кушимчалар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ёзма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равишда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бажарилган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ваколатли</w:t>
            </w:r>
            <w:proofErr w:type="spellEnd"/>
          </w:p>
        </w:tc>
      </w:tr>
      <w:tr w:rsidR="00175163" w:rsidRPr="00175163" w:rsidTr="00D81463">
        <w:trPr>
          <w:trHeight w:val="285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шахслари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томонидан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имзоланган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холдагина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хақиқийдир.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9.4Шартнома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икки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нусхада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тузилган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булиб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,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иккаласи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хам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хил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юридик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кучга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хисобланади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ва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тарафларга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бир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нусхадан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берилади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9.5.Шартномага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иловалар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унинг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ажралмас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кисмини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ташкил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этади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ТАРАФЛАРНИНГ РЕКВИЗИТЛАРИ: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Бажарувчи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Буюртмачи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".</w:t>
            </w:r>
          </w:p>
        </w:tc>
      </w:tr>
      <w:tr w:rsidR="00175163" w:rsidRPr="00175163" w:rsidTr="00D81463">
        <w:trPr>
          <w:trHeight w:val="31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_____________________________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Юридик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манзилгох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Юридик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манзилгох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ТЕЛ: ______________________________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ТЕЛ: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Х\р ______________________________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ШХ/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Р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>:_________________________________</w:t>
            </w: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Банк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номи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_________________________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Банк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номи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: </w:t>
            </w: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_______________________________</w:t>
            </w: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Банк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коди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(МФО) 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Банк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код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>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(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МФО)  </w:t>
            </w: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_________________________</w:t>
            </w:r>
          </w:p>
        </w:tc>
      </w:tr>
      <w:tr w:rsidR="00175163" w:rsidRPr="00175163" w:rsidTr="00D81463">
        <w:trPr>
          <w:trHeight w:val="300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ИНН_________________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ИНН: 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ХХТУТ_61011___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ХХТУТ 00001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Calibri" w:eastAsia="Times New Roman" w:hAnsi="Calibri" w:cs="Calibri"/>
                <w:lang w:eastAsia="ru-RU"/>
              </w:rPr>
              <w:t>Ғ</w:t>
            </w: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азначилик 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булими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: 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Молия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вазирлиги</w:t>
            </w:r>
            <w:proofErr w:type="spellEnd"/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Ғазначилиги</w:t>
            </w: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ИНН: 201122919</w:t>
            </w:r>
          </w:p>
        </w:tc>
      </w:tr>
      <w:tr w:rsidR="00175163" w:rsidRPr="00175163" w:rsidTr="00D81463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Р/С23402000300100001010</w:t>
            </w: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Рахбар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________________________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Рахбар_Ф.Ризаев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           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(Ф.И.О.)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(Ф.И.О.)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__________________________________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__________________________________</w:t>
            </w: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(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имзо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(</w:t>
            </w:r>
            <w:proofErr w:type="spellStart"/>
            <w:r w:rsidRPr="00175163">
              <w:rPr>
                <w:rFonts w:ascii="Arial CYR" w:eastAsia="Times New Roman" w:hAnsi="Arial CYR" w:cs="Arial CYR"/>
                <w:lang w:eastAsia="ru-RU"/>
              </w:rPr>
              <w:t>имзо</w:t>
            </w:r>
            <w:proofErr w:type="spellEnd"/>
            <w:r w:rsidRPr="00175163">
              <w:rPr>
                <w:rFonts w:ascii="Arial CYR" w:eastAsia="Times New Roman" w:hAnsi="Arial CYR" w:cs="Arial CYR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75163" w:rsidRPr="00175163" w:rsidTr="00D81463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М.У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М.У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163" w:rsidRPr="00175163" w:rsidTr="00D81463">
        <w:trPr>
          <w:trHeight w:val="300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lang w:eastAsia="ru-RU"/>
              </w:rPr>
              <w:t>Юрист</w:t>
            </w:r>
            <w:proofErr w:type="gramStart"/>
            <w:r w:rsidRPr="00175163">
              <w:rPr>
                <w:rFonts w:ascii="Arial CYR" w:eastAsia="Times New Roman" w:hAnsi="Arial CYR" w:cs="Arial CYR"/>
                <w:lang w:eastAsia="ru-RU"/>
              </w:rPr>
              <w:t xml:space="preserve"> :</w:t>
            </w:r>
            <w:proofErr w:type="gramEnd"/>
            <w:r w:rsidRPr="00175163">
              <w:rPr>
                <w:rFonts w:ascii="Arial CYR" w:eastAsia="Times New Roman" w:hAnsi="Arial CYR" w:cs="Arial CYR"/>
                <w:lang w:eastAsia="ru-RU"/>
              </w:rPr>
              <w:t>________________________________________________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63" w:rsidRPr="00175163" w:rsidRDefault="00175163" w:rsidP="001751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5163">
              <w:rPr>
                <w:rFonts w:ascii="Arial CYR" w:eastAsia="Times New Roman" w:hAnsi="Arial CYR" w:cs="Arial CYR"/>
                <w:b/>
                <w:bCs/>
                <w:lang w:eastAsia="ru-RU"/>
              </w:rPr>
              <w:t>Ф.И.О.</w:t>
            </w:r>
          </w:p>
        </w:tc>
      </w:tr>
    </w:tbl>
    <w:p w:rsidR="005A5E87" w:rsidRDefault="005A5E87"/>
    <w:sectPr w:rsidR="005A5E87" w:rsidSect="00D814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B89"/>
    <w:rsid w:val="00175163"/>
    <w:rsid w:val="005A5E87"/>
    <w:rsid w:val="007E46B3"/>
    <w:rsid w:val="00965A05"/>
    <w:rsid w:val="00C12839"/>
    <w:rsid w:val="00D56B89"/>
    <w:rsid w:val="00D8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Рфхимжан</cp:lastModifiedBy>
  <cp:revision>2</cp:revision>
  <dcterms:created xsi:type="dcterms:W3CDTF">2022-10-26T05:27:00Z</dcterms:created>
  <dcterms:modified xsi:type="dcterms:W3CDTF">2022-10-26T05:27:00Z</dcterms:modified>
</cp:coreProperties>
</file>