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CE6D90"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 xml:space="preserve"> </w:t>
      </w:r>
      <w:r w:rsidR="0069668C" w:rsidRPr="0069668C">
        <w:rPr>
          <w:rFonts w:ascii="Times New Roman" w:eastAsia="Times New Roman" w:hAnsi="Times New Roman" w:cs="Times New Roman"/>
          <w:color w:val="000000" w:themeColor="text1"/>
          <w:sz w:val="28"/>
          <w:szCs w:val="28"/>
          <w:lang w:val="uz-Cyrl-UZ" w:eastAsia="ru-RU"/>
        </w:rPr>
        <w:t>Юқумли касалликлар шифохонаси</w:t>
      </w:r>
      <w:r>
        <w:rPr>
          <w:rFonts w:ascii="Times New Roman" w:eastAsia="Times New Roman" w:hAnsi="Times New Roman" w:cs="Times New Roman"/>
          <w:color w:val="000000" w:themeColor="text1"/>
          <w:sz w:val="28"/>
          <w:szCs w:val="28"/>
          <w:lang w:val="uz-Cyrl-UZ" w:eastAsia="ru-RU"/>
        </w:rPr>
        <w:t xml:space="preserve"> филиали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sidR="0069668C">
        <w:rPr>
          <w:rFonts w:ascii="Times New Roman" w:eastAsia="Times New Roman" w:hAnsi="Times New Roman" w:cs="Times New Roman"/>
          <w:color w:val="000000" w:themeColor="text1"/>
          <w:sz w:val="28"/>
          <w:szCs w:val="28"/>
          <w:lang w:val="uz-Cyrl-UZ" w:eastAsia="ru-RU"/>
        </w:rPr>
        <w:t>С.Юсупов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69668C"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69668C"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ЮҚУМЛИ КАСАЛЛИКЛАР ШИФОХОНАСИ</w:t>
            </w:r>
            <w:r w:rsidR="00CE6D90">
              <w:rPr>
                <w:rFonts w:ascii="Times New Roman" w:hAnsi="Times New Roman" w:cs="Times New Roman"/>
                <w:color w:val="000000" w:themeColor="text1"/>
                <w:sz w:val="26"/>
                <w:szCs w:val="26"/>
                <w:lang w:val="uz-Cyrl-UZ"/>
              </w:rPr>
              <w:t xml:space="preserve"> Андижон филиали</w:t>
            </w:r>
            <w:r w:rsidR="007B33BA" w:rsidRPr="0067235E">
              <w:rPr>
                <w:rFonts w:ascii="Times New Roman" w:hAnsi="Times New Roman" w:cs="Times New Roman"/>
                <w:color w:val="000000" w:themeColor="text1"/>
                <w:sz w:val="26"/>
                <w:szCs w:val="26"/>
                <w:lang w:val="uz-Cyrl-UZ"/>
              </w:rPr>
              <w:t xml:space="preserve"> </w:t>
            </w:r>
          </w:p>
          <w:p w:rsidR="007B33BA" w:rsidRPr="0067235E"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69668C">
              <w:rPr>
                <w:rFonts w:ascii="Times New Roman" w:hAnsi="Times New Roman" w:cs="Times New Roman"/>
                <w:color w:val="000000" w:themeColor="text1"/>
                <w:sz w:val="26"/>
                <w:szCs w:val="26"/>
                <w:lang w:val="uz-Cyrl-UZ"/>
              </w:rPr>
              <w:t>Ю.Отабеков</w:t>
            </w:r>
            <w:r w:rsidR="007B33BA" w:rsidRPr="0067235E">
              <w:rPr>
                <w:rFonts w:ascii="Times New Roman" w:hAnsi="Times New Roman" w:cs="Times New Roman"/>
                <w:color w:val="000000" w:themeColor="text1"/>
                <w:sz w:val="26"/>
                <w:szCs w:val="26"/>
                <w:lang w:val="uz-Cyrl-UZ"/>
              </w:rPr>
              <w:t xml:space="preserve">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A54FCF">
              <w:rPr>
                <w:rFonts w:ascii="Times New Roman" w:hAnsi="Times New Roman" w:cs="Times New Roman"/>
                <w:color w:val="000000" w:themeColor="text1"/>
                <w:sz w:val="26"/>
                <w:szCs w:val="26"/>
                <w:lang w:val="uz-Cyrl-UZ"/>
              </w:rPr>
              <w:t>1860034017073</w:t>
            </w:r>
            <w:r w:rsidR="00AB2C98">
              <w:rPr>
                <w:rFonts w:ascii="Times New Roman" w:hAnsi="Times New Roman" w:cs="Times New Roman"/>
                <w:color w:val="000000" w:themeColor="text1"/>
                <w:sz w:val="26"/>
                <w:szCs w:val="26"/>
                <w:lang w:val="uz-Cyrl-UZ"/>
              </w:rPr>
              <w:t>102</w:t>
            </w:r>
            <w:r w:rsidR="009C2A57">
              <w:rPr>
                <w:rFonts w:ascii="Times New Roman" w:hAnsi="Times New Roman" w:cs="Times New Roman"/>
                <w:color w:val="000000" w:themeColor="text1"/>
                <w:sz w:val="26"/>
                <w:szCs w:val="26"/>
                <w:lang w:val="uz-Cyrl-UZ"/>
              </w:rPr>
              <w:t>05400</w:t>
            </w:r>
            <w:r w:rsidR="0069668C">
              <w:rPr>
                <w:rFonts w:ascii="Times New Roman" w:hAnsi="Times New Roman" w:cs="Times New Roman"/>
                <w:color w:val="000000" w:themeColor="text1"/>
                <w:sz w:val="26"/>
                <w:szCs w:val="26"/>
                <w:lang w:val="uz-Cyrl-UZ"/>
              </w:rPr>
              <w:t>6</w:t>
            </w:r>
            <w:bookmarkStart w:id="3" w:name="_GoBack"/>
            <w:bookmarkEnd w:id="3"/>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CE6D90">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69668C">
              <w:rPr>
                <w:rFonts w:ascii="Times New Roman" w:hAnsi="Times New Roman" w:cs="Times New Roman"/>
                <w:color w:val="000000" w:themeColor="text1"/>
                <w:sz w:val="26"/>
                <w:szCs w:val="26"/>
                <w:lang w:val="uz-Cyrl-UZ"/>
              </w:rPr>
              <w:t>С.Юсупов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69668C"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69668C"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ЮҚУМЛИ КАСАЛЛИКЛАР ШИФОХОНАСИ</w:t>
            </w:r>
            <w:r w:rsidR="00DE548E">
              <w:rPr>
                <w:rFonts w:ascii="Times New Roman" w:eastAsia="Times New Roman" w:hAnsi="Times New Roman" w:cs="Times New Roman"/>
                <w:color w:val="000000"/>
                <w:sz w:val="24"/>
                <w:szCs w:val="24"/>
                <w:lang w:val="ru-RU" w:eastAsia="ru-RU"/>
              </w:rPr>
              <w:t xml:space="preserve"> Андижон филиали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DE548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директори</w:t>
            </w:r>
            <w:r w:rsidR="005F60F9" w:rsidRPr="002F1269">
              <w:rPr>
                <w:rFonts w:ascii="Times New Roman" w:eastAsia="Times New Roman" w:hAnsi="Times New Roman" w:cs="Times New Roman"/>
                <w:color w:val="000000"/>
                <w:sz w:val="24"/>
                <w:szCs w:val="24"/>
                <w:lang w:val="ru-RU" w:eastAsia="ru-RU"/>
              </w:rPr>
              <w:t>___________</w:t>
            </w:r>
            <w:r w:rsidR="0069668C">
              <w:rPr>
                <w:rFonts w:ascii="Times New Roman" w:eastAsia="Times New Roman" w:hAnsi="Times New Roman" w:cs="Times New Roman"/>
                <w:color w:val="000000"/>
                <w:sz w:val="24"/>
                <w:szCs w:val="24"/>
                <w:lang w:val="ru-RU" w:eastAsia="ru-RU"/>
              </w:rPr>
              <w:t>С.Юсупов</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668C"/>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68CC9-838D-4F75-B9F8-52240772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BD25-258B-4AE6-9955-2CA84D9D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83</cp:revision>
  <cp:lastPrinted>2021-08-09T14:15:00Z</cp:lastPrinted>
  <dcterms:created xsi:type="dcterms:W3CDTF">2021-12-07T04:40:00Z</dcterms:created>
  <dcterms:modified xsi:type="dcterms:W3CDTF">2022-12-03T09:31:00Z</dcterms:modified>
</cp:coreProperties>
</file>