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CC8771" w14:textId="1B07F99D" w:rsidR="00FF6586" w:rsidRPr="00D51927" w:rsidRDefault="00824059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824059">
        <w:rPr>
          <w:rFonts w:ascii="Times New Roman" w:hAnsi="Times New Roman"/>
          <w:sz w:val="28"/>
          <w:szCs w:val="28"/>
          <w:lang w:val="ru-RU"/>
        </w:rPr>
        <w:t>На оказание услуги проведению наблюдательных аудитов энергетического менеджмента на соответствие требованиям международного стандарта ISO 50001:2018 на предприятии АО "</w:t>
      </w:r>
      <w:proofErr w:type="spellStart"/>
      <w:r w:rsidRPr="00824059">
        <w:rPr>
          <w:rFonts w:ascii="Times New Roman" w:hAnsi="Times New Roman"/>
          <w:sz w:val="28"/>
          <w:szCs w:val="28"/>
          <w:lang w:val="ru-RU"/>
        </w:rPr>
        <w:t>Узбекнефтегаз</w:t>
      </w:r>
      <w:proofErr w:type="spellEnd"/>
      <w:r w:rsidRPr="00824059">
        <w:rPr>
          <w:rFonts w:ascii="Times New Roman" w:hAnsi="Times New Roman"/>
          <w:sz w:val="28"/>
          <w:szCs w:val="28"/>
          <w:lang w:val="ru-RU"/>
        </w:rPr>
        <w:t>" МГПЗ.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6284B760" w:rsidR="00380212" w:rsidRPr="00D51927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A841C8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A841C8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A841C8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824059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3C998033" w:rsidR="00A9556E" w:rsidRPr="00F5721F" w:rsidRDefault="00995E2A" w:rsidP="0071701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услуги </w:t>
            </w:r>
            <w:r w:rsidR="005F491B" w:rsidRPr="00995E2A">
              <w:rPr>
                <w:rFonts w:ascii="Times New Roman" w:hAnsi="Times New Roman"/>
                <w:sz w:val="20"/>
                <w:szCs w:val="20"/>
                <w:lang w:val="ru-RU"/>
              </w:rPr>
              <w:t>по калибровке</w:t>
            </w:r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проверка расходомеров-счетчик ультразвуковых взлёт-</w:t>
            </w:r>
            <w:proofErr w:type="spellStart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мр</w:t>
            </w:r>
            <w:proofErr w:type="spellEnd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объектов </w:t>
            </w:r>
            <w:proofErr w:type="spellStart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Мубарекский</w:t>
            </w:r>
            <w:proofErr w:type="spellEnd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 АО «</w:t>
            </w:r>
            <w:proofErr w:type="spellStart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995E2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2B9C2840" w:rsidR="00E55D94" w:rsidRPr="00CA7D82" w:rsidRDefault="0021643B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  <w:r w:rsidR="0082405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824059">
              <w:rPr>
                <w:rFonts w:ascii="Times New Roman" w:hAnsi="Times New Roman"/>
                <w:sz w:val="20"/>
                <w:szCs w:val="20"/>
              </w:rPr>
              <w:t>IV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110609A9" w:rsidR="00E55D94" w:rsidRPr="00CA7D82" w:rsidRDefault="0082405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7E33D64F" w:rsidR="00E509D4" w:rsidRPr="00F5721F" w:rsidRDefault="00824059" w:rsidP="00717012">
            <w:pPr>
              <w:rPr>
                <w:b/>
                <w:bCs/>
                <w:highlight w:val="yellow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166 290 000</w:t>
            </w:r>
            <w:r w:rsidR="00E02D53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824059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824059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824059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2DCB1E1F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D704AE" w:rsidRPr="00D704AE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824059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824059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824059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824059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15DCF979" w:rsidR="00C67DA3" w:rsidRPr="00824059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r w:rsidR="0082405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Наврузов </w:t>
            </w:r>
            <w:proofErr w:type="spellStart"/>
            <w:r w:rsidR="0082405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Умид</w:t>
            </w:r>
            <w:proofErr w:type="spellEnd"/>
          </w:p>
          <w:p w14:paraId="5AB16539" w14:textId="41302B0A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82405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90 426 99 10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824059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Настоящая закупочная документация по отбору  разработана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824059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3AA429" w14:textId="5537AF35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33E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24059" w:rsidRPr="00824059">
              <w:rPr>
                <w:rFonts w:ascii="Times New Roman" w:hAnsi="Times New Roman"/>
                <w:sz w:val="28"/>
                <w:szCs w:val="28"/>
                <w:lang w:val="ru-RU"/>
              </w:rPr>
              <w:t>На оказание услуги проведению наблюдательных аудитов энергетического менеджмента на соответствие требованиям международного стандарта ISO 50001:2018 на предприятии АО "</w:t>
            </w:r>
            <w:proofErr w:type="spellStart"/>
            <w:r w:rsidR="00824059" w:rsidRPr="00824059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="00824059" w:rsidRPr="00824059">
              <w:rPr>
                <w:rFonts w:ascii="Times New Roman" w:hAnsi="Times New Roman"/>
                <w:sz w:val="28"/>
                <w:szCs w:val="28"/>
                <w:lang w:val="ru-RU"/>
              </w:rPr>
              <w:t>" МГПЗ.</w:t>
            </w:r>
          </w:p>
        </w:tc>
      </w:tr>
      <w:tr w:rsidR="00075B4B" w:rsidRPr="00824059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2AC72931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отбора:</w:t>
            </w:r>
            <w:r w:rsidR="00717012"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33E2B">
              <w:rPr>
                <w:rFonts w:ascii="Times New Roman" w:hAnsi="Times New Roman"/>
                <w:sz w:val="28"/>
                <w:szCs w:val="28"/>
                <w:lang w:val="ru-RU"/>
              </w:rPr>
              <w:t>Годовой потребность 2022-года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1079A" w:rsidRPr="00824059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039173D4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8240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166 290 000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824059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824059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824059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либо другого способа, предусмотренного законодательством;</w:t>
            </w:r>
          </w:p>
        </w:tc>
      </w:tr>
      <w:tr w:rsidR="0091079A" w:rsidRPr="00824059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824059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824059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824059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824059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824059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lastRenderedPageBreak/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77777777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F5721F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544125F8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r w:rsidR="008240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Наврузов </w:t>
            </w:r>
            <w:proofErr w:type="spellStart"/>
            <w:r w:rsidR="00824059">
              <w:rPr>
                <w:rFonts w:ascii="Times New Roman" w:hAnsi="Times New Roman"/>
                <w:sz w:val="28"/>
                <w:szCs w:val="28"/>
                <w:lang w:val="ru-RU"/>
              </w:rPr>
              <w:t>Умид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9EDA7CF" w14:textId="7BAD5C7B" w:rsidR="0091079A" w:rsidRPr="00805C05" w:rsidRDefault="0091079A" w:rsidP="008240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</w:t>
            </w:r>
            <w:r w:rsidRPr="00824059">
              <w:rPr>
                <w:rFonts w:ascii="Times New Roman" w:hAnsi="Times New Roman"/>
                <w:sz w:val="28"/>
                <w:szCs w:val="28"/>
              </w:rPr>
              <w:t>. +998 </w:t>
            </w:r>
            <w:r w:rsidR="00824059" w:rsidRPr="00824059">
              <w:rPr>
                <w:rFonts w:ascii="Times New Roman" w:hAnsi="Times New Roman"/>
                <w:sz w:val="28"/>
                <w:szCs w:val="28"/>
              </w:rPr>
              <w:t>90 426 99 10</w:t>
            </w:r>
          </w:p>
          <w:p w14:paraId="0D4B8B17" w14:textId="44C1E3A7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</w:p>
        </w:tc>
      </w:tr>
      <w:tr w:rsidR="0091079A" w:rsidRPr="00824059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805C05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824059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824059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824059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824059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824059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824059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824059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824059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824059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824059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824059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824059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824059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824059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824059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824059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824059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824059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824059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824059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824059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824059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824059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824059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824059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824059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824059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824059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824059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824059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824059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824059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824059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824059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по отбору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824059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824059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824059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824059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824059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824059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824059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824059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824059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1643B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824059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824059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824059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824059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824059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824059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824059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824059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824059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824059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824059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824059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824059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24059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24059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824059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24059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24059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824059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24059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24059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824059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824059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24059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824059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824059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824059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12417818" w:rsidR="0091079A" w:rsidRPr="00F5721F" w:rsidRDefault="00824059" w:rsidP="00DA340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166 290 000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824059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59161376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</w:t>
            </w:r>
            <w:r w:rsidR="00824059">
              <w:rPr>
                <w:rFonts w:ascii="Times New Roman" w:hAnsi="Times New Roman"/>
                <w:lang w:val="ru-RU"/>
              </w:rPr>
              <w:t>/услуг</w:t>
            </w:r>
            <w:r w:rsidRPr="00D51927">
              <w:rPr>
                <w:rFonts w:ascii="Times New Roman" w:hAnsi="Times New Roman"/>
                <w:lang w:val="ru-RU"/>
              </w:rPr>
              <w:t>;</w:t>
            </w:r>
            <w:r w:rsidR="0082405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91079A" w:rsidRPr="00824059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824059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824059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583D" w14:textId="77777777" w:rsidR="00A841C8" w:rsidRDefault="00A841C8">
      <w:r>
        <w:separator/>
      </w:r>
    </w:p>
  </w:endnote>
  <w:endnote w:type="continuationSeparator" w:id="0">
    <w:p w14:paraId="4D29CF3A" w14:textId="77777777" w:rsidR="00A841C8" w:rsidRDefault="00A8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320EC014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9B8F" w14:textId="77777777" w:rsidR="00A841C8" w:rsidRDefault="00A841C8">
      <w:r>
        <w:separator/>
      </w:r>
    </w:p>
  </w:footnote>
  <w:footnote w:type="continuationSeparator" w:id="0">
    <w:p w14:paraId="4F2EACDA" w14:textId="77777777" w:rsidR="00A841C8" w:rsidRDefault="00A841C8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43B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328B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0E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788A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491B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4059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AF5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5E2A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C8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86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4AE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3E2B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pz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A92A-F1F0-4061-8302-F43F5A1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36</Pages>
  <Words>7660</Words>
  <Characters>43668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51226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Umid Baxriddinovich Navruzov</cp:lastModifiedBy>
  <cp:revision>19</cp:revision>
  <cp:lastPrinted>2020-04-14T11:39:00Z</cp:lastPrinted>
  <dcterms:created xsi:type="dcterms:W3CDTF">2022-03-17T05:57:00Z</dcterms:created>
  <dcterms:modified xsi:type="dcterms:W3CDTF">2022-12-05T11:27:00Z</dcterms:modified>
</cp:coreProperties>
</file>