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F95" w14:textId="00A6FFD8" w:rsidR="004B66FF" w:rsidRDefault="004D2975">
      <w:pPr>
        <w:spacing w:after="0" w:line="270" w:lineRule="auto"/>
        <w:ind w:left="3649" w:right="3054" w:firstLine="818"/>
        <w:jc w:val="left"/>
      </w:pPr>
      <w:bookmarkStart w:id="0" w:name="_Hlk105669899"/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№  </w:t>
      </w:r>
      <w:r w:rsidR="005B2E7B">
        <w:rPr>
          <w:b/>
          <w:lang w:val="uz-Cyrl-UZ"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хизматлар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кўрсатиш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бўйича</w:t>
      </w:r>
      <w:proofErr w:type="spellEnd"/>
      <w:r>
        <w:rPr>
          <w:b/>
        </w:rPr>
        <w:t xml:space="preserve">  </w:t>
      </w:r>
    </w:p>
    <w:p w14:paraId="559F4C1A" w14:textId="77777777" w:rsidR="004B66FF" w:rsidRDefault="004D2975">
      <w:pPr>
        <w:spacing w:after="5" w:line="259" w:lineRule="auto"/>
        <w:ind w:left="137" w:right="0" w:firstLine="0"/>
        <w:jc w:val="left"/>
      </w:pPr>
      <w:r>
        <w:t xml:space="preserve"> </w:t>
      </w:r>
    </w:p>
    <w:p w14:paraId="5B376B65" w14:textId="77777777" w:rsidR="004B66FF" w:rsidRDefault="004D2975">
      <w:pPr>
        <w:ind w:left="5192" w:hanging="5070"/>
      </w:pPr>
      <w:proofErr w:type="spellStart"/>
      <w:r>
        <w:t>Тошкент</w:t>
      </w:r>
      <w:proofErr w:type="spellEnd"/>
      <w:r>
        <w:t xml:space="preserve"> ш.                                                                                                  2022 й. «___» ____________ </w:t>
      </w:r>
      <w:r>
        <w:rPr>
          <w:b/>
        </w:rPr>
        <w:t xml:space="preserve"> </w:t>
      </w:r>
    </w:p>
    <w:p w14:paraId="781FD562" w14:textId="77777777" w:rsidR="004B66FF" w:rsidRDefault="004D2975">
      <w:pPr>
        <w:ind w:left="132" w:right="41"/>
      </w:pPr>
      <w:r>
        <w:t xml:space="preserve"> 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Вазирлар</w:t>
      </w:r>
      <w:proofErr w:type="spellEnd"/>
      <w:r>
        <w:t xml:space="preserve"> </w:t>
      </w:r>
      <w:proofErr w:type="spellStart"/>
      <w:r>
        <w:t>Маҳкамаси</w:t>
      </w:r>
      <w:proofErr w:type="spellEnd"/>
      <w:r>
        <w:t xml:space="preserve"> </w:t>
      </w:r>
      <w:proofErr w:type="spellStart"/>
      <w:r>
        <w:t>ҳузуридаги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цивилизацияси</w:t>
      </w:r>
      <w:proofErr w:type="spellEnd"/>
      <w:r>
        <w:t xml:space="preserve"> </w:t>
      </w:r>
      <w:proofErr w:type="spellStart"/>
      <w:proofErr w:type="gramStart"/>
      <w:r>
        <w:t>маркази</w:t>
      </w:r>
      <w:proofErr w:type="spellEnd"/>
      <w:r>
        <w:t xml:space="preserve">  </w:t>
      </w:r>
      <w:proofErr w:type="spellStart"/>
      <w:r>
        <w:t>номидан</w:t>
      </w:r>
      <w:proofErr w:type="spellEnd"/>
      <w:proofErr w:type="gramEnd"/>
      <w:r>
        <w:t xml:space="preserve"> Устав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, директор </w:t>
      </w:r>
      <w:proofErr w:type="spellStart"/>
      <w:r>
        <w:t>Шоазим</w:t>
      </w:r>
      <w:proofErr w:type="spellEnd"/>
      <w:r>
        <w:t xml:space="preserve"> </w:t>
      </w:r>
      <w:proofErr w:type="spellStart"/>
      <w:r>
        <w:t>Шоисламович</w:t>
      </w:r>
      <w:proofErr w:type="spellEnd"/>
      <w:r>
        <w:t xml:space="preserve"> </w:t>
      </w:r>
      <w:proofErr w:type="spellStart"/>
      <w:r>
        <w:t>Миноваров</w:t>
      </w:r>
      <w:proofErr w:type="spellEnd"/>
      <w:r>
        <w:t>,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>,  “</w:t>
      </w:r>
      <w:proofErr w:type="spellStart"/>
      <w:r>
        <w:rPr>
          <w:b/>
        </w:rPr>
        <w:t>Буюртмачи</w:t>
      </w:r>
      <w:proofErr w:type="spellEnd"/>
      <w:r>
        <w:t xml:space="preserve">”)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аталадиган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</w:p>
    <w:p w14:paraId="784A0CAE" w14:textId="77777777" w:rsidR="004B66FF" w:rsidRDefault="004D2975">
      <w:pPr>
        <w:ind w:left="132" w:right="41"/>
      </w:pPr>
      <w:r>
        <w:t>________________________________________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“</w:t>
      </w:r>
      <w:proofErr w:type="spellStart"/>
      <w:r>
        <w:rPr>
          <w:b/>
        </w:rPr>
        <w:t>Ижрочи</w:t>
      </w:r>
      <w:proofErr w:type="spellEnd"/>
      <w:proofErr w:type="gramStart"/>
      <w:r>
        <w:t>” )</w:t>
      </w:r>
      <w:proofErr w:type="gram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 </w:t>
      </w:r>
      <w:proofErr w:type="spellStart"/>
      <w:r>
        <w:t>қуйидагилар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туздилар</w:t>
      </w:r>
      <w:proofErr w:type="spellEnd"/>
      <w:r>
        <w:t xml:space="preserve">: </w:t>
      </w:r>
    </w:p>
    <w:p w14:paraId="4BD5679F" w14:textId="77777777" w:rsidR="004B66FF" w:rsidRDefault="004D2975">
      <w:pPr>
        <w:spacing w:after="70" w:line="259" w:lineRule="auto"/>
        <w:ind w:left="137" w:right="0" w:firstLine="0"/>
        <w:jc w:val="left"/>
      </w:pPr>
      <w:r>
        <w:t xml:space="preserve"> </w:t>
      </w:r>
    </w:p>
    <w:p w14:paraId="54F514B4" w14:textId="77777777" w:rsidR="004B66FF" w:rsidRDefault="004D2975">
      <w:pPr>
        <w:spacing w:after="0" w:line="259" w:lineRule="auto"/>
        <w:ind w:left="458" w:right="3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предмети</w:t>
      </w:r>
      <w:proofErr w:type="spellEnd"/>
      <w:r>
        <w:rPr>
          <w:b/>
        </w:rPr>
        <w:t xml:space="preserve">. </w:t>
      </w:r>
    </w:p>
    <w:p w14:paraId="59282457" w14:textId="684CC217" w:rsidR="004B66FF" w:rsidRDefault="004D2975">
      <w:pPr>
        <w:numPr>
          <w:ilvl w:val="0"/>
          <w:numId w:val="1"/>
        </w:numPr>
        <w:ind w:right="2" w:hanging="348"/>
        <w:jc w:val="center"/>
      </w:pPr>
      <w:r>
        <w:t xml:space="preserve">1.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3-бандига 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буён</w:t>
      </w:r>
      <w:proofErr w:type="spellEnd"/>
      <w:r>
        <w:t xml:space="preserve"> </w:t>
      </w:r>
      <w:proofErr w:type="spellStart"/>
      <w:r>
        <w:t>матнда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</w:t>
      </w:r>
      <w:proofErr w:type="spellEnd"/>
      <w:r>
        <w:t xml:space="preserve">) </w:t>
      </w:r>
      <w:proofErr w:type="spellStart"/>
      <w:r>
        <w:t>мувофиқ</w:t>
      </w:r>
      <w:proofErr w:type="spellEnd"/>
      <w:r>
        <w:t xml:space="preserve"> </w:t>
      </w:r>
      <w:r w:rsidR="007B3E2F">
        <w:rPr>
          <w:lang w:val="uz-Cyrl-UZ"/>
        </w:rPr>
        <w:t xml:space="preserve">китоблар нашри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кўрсатишни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</w:p>
    <w:p w14:paraId="74070D78" w14:textId="77777777" w:rsidR="004B66FF" w:rsidRDefault="004D2975">
      <w:pPr>
        <w:numPr>
          <w:ilvl w:val="1"/>
          <w:numId w:val="2"/>
        </w:numPr>
        <w:ind w:right="41"/>
      </w:pPr>
      <w:r>
        <w:t xml:space="preserve">Ушбу </w:t>
      </w:r>
      <w:proofErr w:type="spellStart"/>
      <w:proofErr w:type="gramStart"/>
      <w:r>
        <w:t>шартнома</w:t>
      </w:r>
      <w:proofErr w:type="spellEnd"/>
      <w:r>
        <w:t xml:space="preserve">  </w:t>
      </w:r>
      <w:proofErr w:type="spellStart"/>
      <w:r>
        <w:t>шартноманинг</w:t>
      </w:r>
      <w:proofErr w:type="spellEnd"/>
      <w:proofErr w:type="gramEnd"/>
      <w:r>
        <w:t xml:space="preserve"> 1-иловасида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Спецификациялар</w:t>
      </w:r>
      <w:proofErr w:type="spellEnd"/>
      <w:r>
        <w:t xml:space="preserve"> (</w:t>
      </w:r>
      <w:proofErr w:type="spellStart"/>
      <w:r>
        <w:t>ишларга</w:t>
      </w:r>
      <w:proofErr w:type="spellEnd"/>
      <w:r>
        <w:t xml:space="preserve">)га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оширишни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тутади</w:t>
      </w:r>
      <w:proofErr w:type="spellEnd"/>
      <w:r>
        <w:rPr>
          <w:rFonts w:ascii="Calibri" w:eastAsia="Calibri" w:hAnsi="Calibri" w:cs="Calibri"/>
          <w:b/>
          <w:sz w:val="22"/>
        </w:rPr>
        <w:t xml:space="preserve">. </w:t>
      </w:r>
    </w:p>
    <w:p w14:paraId="4D9CBC10" w14:textId="77777777" w:rsidR="004B66FF" w:rsidRDefault="004D2975">
      <w:pPr>
        <w:spacing w:after="18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10E79B3D" w14:textId="77777777" w:rsidR="004B66FF" w:rsidRDefault="004D2975">
      <w:pPr>
        <w:numPr>
          <w:ilvl w:val="1"/>
          <w:numId w:val="2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шахсан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шахсларни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қилган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жавобгарликни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 “</w:t>
      </w:r>
      <w:proofErr w:type="spellStart"/>
      <w:r>
        <w:rPr>
          <w:b/>
        </w:rPr>
        <w:t>Буюртмачи</w:t>
      </w:r>
      <w:proofErr w:type="spellEnd"/>
      <w:r>
        <w:t xml:space="preserve">”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кўрсатилиши</w:t>
      </w:r>
      <w:proofErr w:type="spellEnd"/>
      <w:r>
        <w:t xml:space="preserve"> </w:t>
      </w:r>
      <w:proofErr w:type="spellStart"/>
      <w:r>
        <w:t>бошланади</w:t>
      </w:r>
      <w:proofErr w:type="spellEnd"/>
      <w:r>
        <w:t xml:space="preserve">. </w:t>
      </w:r>
    </w:p>
    <w:p w14:paraId="203B3C71" w14:textId="77777777" w:rsidR="004B66FF" w:rsidRDefault="004D2975">
      <w:pPr>
        <w:numPr>
          <w:ilvl w:val="1"/>
          <w:numId w:val="2"/>
        </w:numPr>
        <w:ind w:right="41"/>
      </w:pP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кўрсатилганлиги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электрон </w:t>
      </w:r>
      <w:proofErr w:type="spellStart"/>
      <w:r>
        <w:t>ҳисобварақ</w:t>
      </w:r>
      <w:proofErr w:type="spellEnd"/>
      <w:r>
        <w:t xml:space="preserve">-фактура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тасдиқланади</w:t>
      </w:r>
      <w:proofErr w:type="spellEnd"/>
      <w:r>
        <w:t xml:space="preserve">. </w:t>
      </w:r>
    </w:p>
    <w:p w14:paraId="1B8A8741" w14:textId="77777777" w:rsidR="004B66FF" w:rsidRDefault="004D2975">
      <w:pPr>
        <w:spacing w:after="28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2C73980A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Хизматлар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кўрсатиш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699C7FC9" w14:textId="77777777" w:rsidR="004B66FF" w:rsidRDefault="004D2975">
      <w:pPr>
        <w:spacing w:after="16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33DF3F27" w14:textId="36BB2E3B" w:rsidR="004B66FF" w:rsidRDefault="004D2975">
      <w:pPr>
        <w:numPr>
          <w:ilvl w:val="1"/>
          <w:numId w:val="1"/>
        </w:numPr>
        <w:ind w:right="41"/>
      </w:pPr>
      <w:proofErr w:type="spellStart"/>
      <w:r>
        <w:t>Ижрочи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ҳисобварағига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олганидан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r w:rsidR="00B54EDF">
        <w:t>7</w:t>
      </w:r>
      <w:r>
        <w:t xml:space="preserve"> (</w:t>
      </w:r>
      <w:proofErr w:type="spellStart"/>
      <w:r w:rsidR="00B54EDF">
        <w:t>етти</w:t>
      </w:r>
      <w:proofErr w:type="spellEnd"/>
      <w:r>
        <w:t xml:space="preserve">)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кўрсатади</w:t>
      </w:r>
      <w:proofErr w:type="spellEnd"/>
      <w:r>
        <w:t xml:space="preserve">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илгари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r>
        <w:t>қўйилади</w:t>
      </w:r>
      <w:proofErr w:type="spellEnd"/>
      <w:r>
        <w:t xml:space="preserve">. </w:t>
      </w:r>
    </w:p>
    <w:p w14:paraId="16867BA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кўрсатилиши</w:t>
      </w:r>
      <w:proofErr w:type="spellEnd"/>
      <w:r>
        <w:t xml:space="preserve"> </w:t>
      </w:r>
      <w:proofErr w:type="spellStart"/>
      <w:r>
        <w:t>тугагач</w:t>
      </w:r>
      <w:proofErr w:type="spellEnd"/>
      <w:r>
        <w:t xml:space="preserve">,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rPr>
          <w:b/>
        </w:rPr>
        <w:t>Буюртмачига</w:t>
      </w:r>
      <w:proofErr w:type="spellEnd"/>
      <w:r>
        <w:t xml:space="preserve"> электрон </w:t>
      </w:r>
      <w:proofErr w:type="spellStart"/>
      <w:r>
        <w:t>ҳисоб</w:t>
      </w:r>
      <w:proofErr w:type="spellEnd"/>
      <w:r>
        <w:t xml:space="preserve">-фактура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далолатномасини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, бунда </w:t>
      </w:r>
      <w:proofErr w:type="spellStart"/>
      <w:r>
        <w:rPr>
          <w:b/>
        </w:rPr>
        <w:t>Буюртмачи</w:t>
      </w:r>
      <w:proofErr w:type="spellEnd"/>
      <w:r>
        <w:t xml:space="preserve"> 3 кун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ҳужжатларни</w:t>
      </w:r>
      <w:proofErr w:type="spellEnd"/>
      <w:r>
        <w:t xml:space="preserve"> </w:t>
      </w:r>
      <w:proofErr w:type="spellStart"/>
      <w:r>
        <w:t>имзолайди</w:t>
      </w:r>
      <w:proofErr w:type="spellEnd"/>
      <w:r>
        <w:t xml:space="preserve"> (</w:t>
      </w:r>
      <w:proofErr w:type="spellStart"/>
      <w:r>
        <w:t>тасдиқлайди</w:t>
      </w:r>
      <w:proofErr w:type="spellEnd"/>
      <w:r>
        <w:t xml:space="preserve">)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имзоламаган</w:t>
      </w:r>
      <w:proofErr w:type="spellEnd"/>
      <w:r>
        <w:t xml:space="preserve"> (</w:t>
      </w:r>
      <w:proofErr w:type="spellStart"/>
      <w:r>
        <w:t>тасдиқламаган</w:t>
      </w:r>
      <w:proofErr w:type="spellEnd"/>
      <w:r>
        <w:t xml:space="preserve">)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асослантирилган</w:t>
      </w:r>
      <w:proofErr w:type="spellEnd"/>
      <w:r>
        <w:t xml:space="preserve"> рад </w:t>
      </w:r>
      <w:proofErr w:type="spellStart"/>
      <w:r>
        <w:t>жавобини</w:t>
      </w:r>
      <w:proofErr w:type="spellEnd"/>
      <w:r>
        <w:t xml:space="preserve"> </w:t>
      </w:r>
      <w:proofErr w:type="spellStart"/>
      <w:r>
        <w:rPr>
          <w:b/>
        </w:rPr>
        <w:t>Ижрочига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14:paraId="4043AB1C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хизматдаги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аниқланганлиги</w:t>
      </w:r>
      <w:proofErr w:type="spellEnd"/>
      <w:r>
        <w:t xml:space="preserve"> </w:t>
      </w:r>
      <w:proofErr w:type="spellStart"/>
      <w:r>
        <w:t>сабабли</w:t>
      </w:r>
      <w:proofErr w:type="spellEnd"/>
      <w: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асослантирилган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далолатномасини</w:t>
      </w:r>
      <w:proofErr w:type="spellEnd"/>
      <w:r>
        <w:t xml:space="preserve"> </w:t>
      </w:r>
      <w:proofErr w:type="spellStart"/>
      <w:r>
        <w:t>имзолашдан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ҳисоб-фактурани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қилишдан</w:t>
      </w:r>
      <w:proofErr w:type="spellEnd"/>
      <w:r>
        <w:t xml:space="preserve"> бош </w:t>
      </w:r>
      <w:proofErr w:type="spellStart"/>
      <w:r>
        <w:t>тортган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рўйхати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тузадилар</w:t>
      </w:r>
      <w:proofErr w:type="spellEnd"/>
      <w:r>
        <w:t xml:space="preserve">. Бунда,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r>
        <w:rPr>
          <w:color w:val="FF0000"/>
        </w:rPr>
        <w:t xml:space="preserve">2 календарь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 </w:t>
      </w:r>
    </w:p>
    <w:p w14:paraId="7F083665" w14:textId="77777777" w:rsidR="004B66FF" w:rsidRDefault="004D2975">
      <w:pPr>
        <w:ind w:left="132" w:right="41"/>
      </w:pPr>
      <w:proofErr w:type="spellStart"/>
      <w:r>
        <w:t>Нуқсонлар</w:t>
      </w:r>
      <w:proofErr w:type="spellEnd"/>
      <w:r>
        <w:t xml:space="preserve"> </w:t>
      </w:r>
      <w:proofErr w:type="spellStart"/>
      <w:r>
        <w:t>далолатномасида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маблағлари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этишга</w:t>
      </w:r>
      <w:proofErr w:type="spellEnd"/>
      <w:r>
        <w:t xml:space="preserve"> </w:t>
      </w:r>
      <w:proofErr w:type="spellStart"/>
      <w:r>
        <w:t>мажбурдир</w:t>
      </w:r>
      <w:proofErr w:type="spellEnd"/>
      <w:r>
        <w:t xml:space="preserve">.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</w:t>
      </w:r>
      <w:proofErr w:type="spellStart"/>
      <w:r>
        <w:t>айбисиз</w:t>
      </w:r>
      <w:proofErr w:type="spellEnd"/>
      <w:r>
        <w:t xml:space="preserve">,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қасддан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эҳтиётсизлик</w:t>
      </w:r>
      <w:proofErr w:type="spellEnd"/>
      <w:r>
        <w:t xml:space="preserve">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Ижрочининг</w:t>
      </w:r>
      <w:proofErr w:type="spellEnd"/>
      <w:r>
        <w:t xml:space="preserve"> материал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ускуналарига</w:t>
      </w:r>
      <w:proofErr w:type="spellEnd"/>
      <w:r>
        <w:t xml:space="preserve"> </w:t>
      </w:r>
      <w:proofErr w:type="spellStart"/>
      <w:r>
        <w:t>зарар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мустаснодир</w:t>
      </w:r>
      <w:proofErr w:type="spellEnd"/>
      <w:r>
        <w:t xml:space="preserve">.  </w:t>
      </w:r>
    </w:p>
    <w:p w14:paraId="791BD01A" w14:textId="77777777" w:rsidR="004B66FF" w:rsidRDefault="004D2975">
      <w:pPr>
        <w:spacing w:after="26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B0B68C3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баҳоси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тўлов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3FBEC94C" w14:textId="77777777" w:rsidR="004B66FF" w:rsidRDefault="004D2975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14:paraId="153D34E4" w14:textId="77777777" w:rsidR="004B66FF" w:rsidRDefault="004D2975">
      <w:pPr>
        <w:numPr>
          <w:ilvl w:val="1"/>
          <w:numId w:val="1"/>
        </w:numPr>
        <w:ind w:right="41"/>
      </w:pPr>
      <w:r>
        <w:lastRenderedPageBreak/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хизматларнинг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r>
        <w:rPr>
          <w:b/>
        </w:rPr>
        <w:t>__________________________________________________</w:t>
      </w:r>
      <w:r>
        <w:t xml:space="preserve"> (</w:t>
      </w:r>
      <w:proofErr w:type="spellStart"/>
      <w:r>
        <w:rPr>
          <w:i/>
        </w:rPr>
        <w:t>ҚҚСни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ҳисобга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олган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ҳолда</w:t>
      </w:r>
      <w:proofErr w:type="spellEnd"/>
      <w:r>
        <w:t xml:space="preserve">)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14:paraId="6822BEDB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уч</w:t>
      </w:r>
      <w:proofErr w:type="spellEnd"/>
      <w:r>
        <w:t xml:space="preserve"> банк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мобайнида</w:t>
      </w:r>
      <w:proofErr w:type="spellEnd"/>
      <w:r>
        <w:t xml:space="preserve"> </w:t>
      </w:r>
      <w:proofErr w:type="spellStart"/>
      <w:r>
        <w:rPr>
          <w:b/>
        </w:rPr>
        <w:t>Ижрочининг</w:t>
      </w:r>
      <w:proofErr w:type="spellEnd"/>
      <w:r>
        <w:t xml:space="preserve"> </w:t>
      </w:r>
      <w:proofErr w:type="spellStart"/>
      <w:r>
        <w:t>ҳисоб-китоб</w:t>
      </w:r>
      <w:proofErr w:type="spellEnd"/>
      <w:r>
        <w:t xml:space="preserve"> </w:t>
      </w:r>
      <w:proofErr w:type="spellStart"/>
      <w:r>
        <w:t>рақамига</w:t>
      </w:r>
      <w:proofErr w:type="spellEnd"/>
      <w:r>
        <w:t xml:space="preserve"> 30% </w:t>
      </w:r>
      <w:proofErr w:type="spellStart"/>
      <w:r>
        <w:t>миқдорида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 xml:space="preserve">. </w:t>
      </w:r>
      <w:proofErr w:type="spellStart"/>
      <w:proofErr w:type="gramStart"/>
      <w:r>
        <w:rPr>
          <w:b/>
        </w:rPr>
        <w:t>Ижрочи</w:t>
      </w:r>
      <w:proofErr w:type="spellEnd"/>
      <w:r>
        <w:t xml:space="preserve">  </w:t>
      </w:r>
      <w:proofErr w:type="spellStart"/>
      <w:r>
        <w:t>томонидан</w:t>
      </w:r>
      <w:proofErr w:type="spellEnd"/>
      <w:proofErr w:type="gram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, электрон </w:t>
      </w:r>
      <w:proofErr w:type="spellStart"/>
      <w:r>
        <w:t>ҳисобварақ</w:t>
      </w:r>
      <w:proofErr w:type="spellEnd"/>
      <w:r>
        <w:t xml:space="preserve">-фактура </w:t>
      </w:r>
      <w:proofErr w:type="spellStart"/>
      <w:r>
        <w:t>топширгандан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,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</w:t>
      </w:r>
      <w:proofErr w:type="spellStart"/>
      <w:r>
        <w:t>қолган</w:t>
      </w:r>
      <w:proofErr w:type="spellEnd"/>
      <w:r>
        <w:t xml:space="preserve"> 70% </w:t>
      </w:r>
      <w:proofErr w:type="spellStart"/>
      <w:r>
        <w:t>миқдоридаги</w:t>
      </w:r>
      <w:proofErr w:type="spellEnd"/>
      <w:r>
        <w:t xml:space="preserve"> сумма </w:t>
      </w:r>
      <w:proofErr w:type="spellStart"/>
      <w:r>
        <w:rPr>
          <w:b/>
        </w:rPr>
        <w:t>буюртмачи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томонидан</w:t>
      </w:r>
      <w:proofErr w:type="spellEnd"/>
      <w:r>
        <w:t xml:space="preserve"> 3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мобайнида</w:t>
      </w:r>
      <w:proofErr w:type="spellEnd"/>
      <w:r>
        <w:t xml:space="preserve"> </w:t>
      </w:r>
      <w:proofErr w:type="spellStart"/>
      <w:r>
        <w:t>тўлаб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 xml:space="preserve">. </w:t>
      </w:r>
    </w:p>
    <w:p w14:paraId="1800C1F6" w14:textId="73E60CFD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шартноманинг</w:t>
      </w:r>
      <w:proofErr w:type="spellEnd"/>
      <w:r>
        <w:t xml:space="preserve"> 3.1 </w:t>
      </w:r>
      <w:proofErr w:type="spellStart"/>
      <w:r>
        <w:t>бандда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-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r w:rsidR="004A5278">
        <w:rPr>
          <w:lang w:val="uz-Cyrl-UZ"/>
        </w:rPr>
        <w:t>1</w:t>
      </w:r>
      <w:r>
        <w:t>-</w:t>
      </w:r>
      <w:proofErr w:type="spellStart"/>
      <w:r>
        <w:t>иловасига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предметини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солиқлар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тўловларни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олади</w:t>
      </w:r>
      <w:proofErr w:type="spellEnd"/>
      <w:r>
        <w:t xml:space="preserve">. </w:t>
      </w:r>
    </w:p>
    <w:p w14:paraId="701DAB25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</w:t>
      </w:r>
      <w:proofErr w:type="spellEnd"/>
      <w:r>
        <w:t xml:space="preserve"> </w:t>
      </w:r>
      <w:proofErr w:type="spellStart"/>
      <w:r>
        <w:t>нархи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давомида</w:t>
      </w:r>
      <w:proofErr w:type="spellEnd"/>
      <w:r>
        <w:t xml:space="preserve"> </w:t>
      </w:r>
      <w:proofErr w:type="spellStart"/>
      <w:r>
        <w:t>ўзгарилишига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proofErr w:type="gramStart"/>
      <w:r>
        <w:t>қўйилмайди</w:t>
      </w:r>
      <w:proofErr w:type="spellEnd"/>
      <w:r>
        <w:t xml:space="preserve">,  </w:t>
      </w:r>
      <w:proofErr w:type="spellStart"/>
      <w:r>
        <w:rPr>
          <w:b/>
        </w:rPr>
        <w:t>Буюртмачининг</w:t>
      </w:r>
      <w:proofErr w:type="spellEnd"/>
      <w:proofErr w:type="gram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ҳажми</w:t>
      </w:r>
      <w:proofErr w:type="spellEnd"/>
      <w:r>
        <w:t xml:space="preserve"> </w:t>
      </w:r>
      <w:proofErr w:type="spellStart"/>
      <w:r>
        <w:t>ўзгариб</w:t>
      </w:r>
      <w:proofErr w:type="spellEnd"/>
      <w:r>
        <w:t xml:space="preserve">,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сифатида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мустаснодир</w:t>
      </w:r>
      <w:proofErr w:type="spellEnd"/>
      <w:r>
        <w:t xml:space="preserve">. </w:t>
      </w:r>
    </w:p>
    <w:p w14:paraId="3D3B8DCC" w14:textId="77777777" w:rsidR="004B66FF" w:rsidRDefault="004D2975">
      <w:pPr>
        <w:spacing w:after="24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0BB9F8E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Хизматларни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қабул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</w:t>
      </w:r>
      <w:proofErr w:type="spellEnd"/>
      <w:r>
        <w:rPr>
          <w:b/>
        </w:rPr>
        <w:t xml:space="preserve"> </w:t>
      </w:r>
    </w:p>
    <w:p w14:paraId="28E4D943" w14:textId="77777777" w:rsidR="004B66FF" w:rsidRDefault="004D2975">
      <w:pPr>
        <w:spacing w:after="18" w:line="259" w:lineRule="auto"/>
        <w:ind w:right="0" w:firstLine="0"/>
        <w:jc w:val="center"/>
      </w:pPr>
      <w:r>
        <w:rPr>
          <w:b/>
        </w:rPr>
        <w:t xml:space="preserve"> </w:t>
      </w:r>
    </w:p>
    <w:p w14:paraId="6E6FAE89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Халқаро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академияси</w:t>
      </w:r>
      <w:proofErr w:type="spellEnd"/>
      <w:r>
        <w:t xml:space="preserve"> </w:t>
      </w:r>
      <w:proofErr w:type="spellStart"/>
      <w:r>
        <w:t>ҳудудида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</w:p>
    <w:p w14:paraId="4D87BDB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2.2 </w:t>
      </w:r>
      <w:proofErr w:type="spellStart"/>
      <w:r>
        <w:t>бандида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ҳужжатларга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 </w:t>
      </w:r>
    </w:p>
    <w:p w14:paraId="6B872B84" w14:textId="77777777" w:rsidR="004B66FF" w:rsidRDefault="004D2975">
      <w:pPr>
        <w:spacing w:after="27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B9D4CB5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муддатлари</w:t>
      </w:r>
      <w:proofErr w:type="spellEnd"/>
      <w:r>
        <w:rPr>
          <w:b/>
        </w:rPr>
        <w:t xml:space="preserve">. </w:t>
      </w:r>
    </w:p>
    <w:p w14:paraId="0958CF9F" w14:textId="77777777" w:rsidR="004B66FF" w:rsidRDefault="004D2975">
      <w:pPr>
        <w:spacing w:after="10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2F21BB96" w14:textId="05496436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_</w:t>
      </w:r>
      <w:r>
        <w:rPr>
          <w:color w:val="404040"/>
        </w:rPr>
        <w:t xml:space="preserve">2022 </w:t>
      </w:r>
      <w:proofErr w:type="spellStart"/>
      <w:r>
        <w:rPr>
          <w:color w:val="404040"/>
        </w:rPr>
        <w:t>йил</w:t>
      </w:r>
      <w:proofErr w:type="spellEnd"/>
      <w:r>
        <w:rPr>
          <w:color w:val="404040"/>
        </w:rPr>
        <w:t xml:space="preserve"> _</w:t>
      </w:r>
      <w:r w:rsidR="0068180F">
        <w:rPr>
          <w:color w:val="404040"/>
        </w:rPr>
        <w:t xml:space="preserve">31 </w:t>
      </w:r>
      <w:proofErr w:type="spellStart"/>
      <w:r w:rsidR="0068180F">
        <w:rPr>
          <w:color w:val="404040"/>
        </w:rPr>
        <w:t>декабрга</w:t>
      </w:r>
      <w:proofErr w:type="spellEnd"/>
      <w:r>
        <w:rPr>
          <w:color w:val="404040"/>
        </w:rPr>
        <w:t xml:space="preserve">_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якунланиши</w:t>
      </w:r>
      <w:proofErr w:type="spellEnd"/>
      <w:r>
        <w:t xml:space="preserve"> </w:t>
      </w:r>
      <w:proofErr w:type="spellStart"/>
      <w:r>
        <w:t>тарафларни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бажаришдан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 xml:space="preserve">. </w:t>
      </w:r>
    </w:p>
    <w:p w14:paraId="3C264581" w14:textId="77777777" w:rsidR="004B66FF" w:rsidRDefault="004D2975">
      <w:pPr>
        <w:ind w:left="132" w:right="41"/>
      </w:pPr>
      <w:r>
        <w:t xml:space="preserve">5.1.1.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Ижрочидан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доирасида</w:t>
      </w:r>
      <w:proofErr w:type="spellEnd"/>
      <w:r>
        <w:t xml:space="preserve">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материаллари</w:t>
      </w:r>
      <w:proofErr w:type="spellEnd"/>
      <w:r>
        <w:t xml:space="preserve">, </w:t>
      </w:r>
      <w:proofErr w:type="spellStart"/>
      <w:r>
        <w:t>хом</w:t>
      </w:r>
      <w:proofErr w:type="spellEnd"/>
      <w:r>
        <w:t xml:space="preserve"> </w:t>
      </w:r>
      <w:proofErr w:type="spellStart"/>
      <w:r>
        <w:t>ашё</w:t>
      </w:r>
      <w:proofErr w:type="spellEnd"/>
      <w:r>
        <w:t xml:space="preserve">, </w:t>
      </w:r>
      <w:proofErr w:type="spellStart"/>
      <w:r>
        <w:t>асбоб-ускуналар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бошқаларни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олганликни</w:t>
      </w:r>
      <w:proofErr w:type="spellEnd"/>
      <w:r>
        <w:t xml:space="preserve"> </w:t>
      </w:r>
      <w:proofErr w:type="spellStart"/>
      <w:r>
        <w:t>тасдиқловчи</w:t>
      </w:r>
      <w:proofErr w:type="spellEnd"/>
      <w:r>
        <w:t xml:space="preserve"> </w:t>
      </w:r>
      <w:proofErr w:type="spellStart"/>
      <w:r>
        <w:t>бирламчи</w:t>
      </w:r>
      <w:proofErr w:type="spellEnd"/>
      <w:r>
        <w:t xml:space="preserve"> бухгалтерия </w:t>
      </w:r>
      <w:proofErr w:type="spellStart"/>
      <w:r>
        <w:t>ҳужжатларини</w:t>
      </w:r>
      <w:proofErr w:type="spellEnd"/>
      <w:r>
        <w:t xml:space="preserve"> (счёт-</w:t>
      </w:r>
      <w:proofErr w:type="spellStart"/>
      <w:r>
        <w:t>фактуралар</w:t>
      </w:r>
      <w:proofErr w:type="spellEnd"/>
      <w:r>
        <w:t>, счёт-</w:t>
      </w:r>
      <w:proofErr w:type="spellStart"/>
      <w:r>
        <w:t>фактуралар</w:t>
      </w:r>
      <w:proofErr w:type="spellEnd"/>
      <w:r>
        <w:t xml:space="preserve">, </w:t>
      </w:r>
      <w:proofErr w:type="spellStart"/>
      <w:r>
        <w:t>тушумлар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ҳужжатларнинг</w:t>
      </w:r>
      <w:proofErr w:type="spellEnd"/>
      <w:r>
        <w:t xml:space="preserve"> </w:t>
      </w:r>
      <w:proofErr w:type="spellStart"/>
      <w:r>
        <w:t>нусхалари</w:t>
      </w:r>
      <w:proofErr w:type="spellEnd"/>
      <w:r>
        <w:t xml:space="preserve">)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этишни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қилишга</w:t>
      </w:r>
      <w:proofErr w:type="spellEnd"/>
      <w:r>
        <w:t xml:space="preserve"> </w:t>
      </w:r>
      <w:proofErr w:type="spellStart"/>
      <w:r>
        <w:t>ҳақли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 xml:space="preserve">.  </w:t>
      </w:r>
    </w:p>
    <w:p w14:paraId="234541CD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вақтда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розилиги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, шу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Ижрочига</w:t>
      </w:r>
      <w:proofErr w:type="spellEnd"/>
      <w:r>
        <w:t xml:space="preserve"> </w:t>
      </w:r>
      <w:proofErr w:type="spellStart"/>
      <w:r>
        <w:t>ҳақ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14:paraId="32FA2A71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бирининг</w:t>
      </w:r>
      <w:proofErr w:type="spell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, </w:t>
      </w:r>
      <w:proofErr w:type="spellStart"/>
      <w:r>
        <w:t>сабабларини</w:t>
      </w:r>
      <w:proofErr w:type="spellEnd"/>
      <w:r>
        <w:t xml:space="preserve"> </w:t>
      </w:r>
      <w:proofErr w:type="spellStart"/>
      <w:r>
        <w:t>кўрсатган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,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томонни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 </w:t>
      </w:r>
      <w:proofErr w:type="spellStart"/>
      <w:r>
        <w:t>режалаштирилган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камида</w:t>
      </w:r>
      <w:proofErr w:type="spellEnd"/>
      <w:r>
        <w:t xml:space="preserve"> 10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</w:p>
    <w:p w14:paraId="423B0A24" w14:textId="77777777" w:rsidR="004B66FF" w:rsidRDefault="004D2975">
      <w:pPr>
        <w:spacing w:after="32" w:line="259" w:lineRule="auto"/>
        <w:ind w:left="137" w:right="0" w:firstLine="0"/>
        <w:jc w:val="left"/>
      </w:pPr>
      <w:r>
        <w:t xml:space="preserve"> </w:t>
      </w:r>
    </w:p>
    <w:p w14:paraId="6E00DFCA" w14:textId="77777777" w:rsidR="004B66FF" w:rsidRDefault="004D2975">
      <w:pPr>
        <w:numPr>
          <w:ilvl w:val="0"/>
          <w:numId w:val="1"/>
        </w:numPr>
        <w:spacing w:after="0" w:line="270" w:lineRule="auto"/>
        <w:ind w:right="2" w:hanging="348"/>
        <w:jc w:val="center"/>
      </w:pPr>
      <w:proofErr w:type="spellStart"/>
      <w:r>
        <w:rPr>
          <w:b/>
        </w:rPr>
        <w:t>Шартномага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ўзгартиш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қўшимчалар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киритилиши</w:t>
      </w:r>
      <w:proofErr w:type="spellEnd"/>
      <w:r>
        <w:rPr>
          <w:b/>
        </w:rPr>
        <w:t xml:space="preserve">. </w:t>
      </w:r>
    </w:p>
    <w:p w14:paraId="32964AFC" w14:textId="77777777" w:rsidR="004B66FF" w:rsidRDefault="004D2975">
      <w:pPr>
        <w:spacing w:after="17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4AC7701A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ўзгартириш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қўшимчалар</w:t>
      </w:r>
      <w:proofErr w:type="spellEnd"/>
      <w:r>
        <w:t xml:space="preserve"> </w:t>
      </w:r>
      <w:proofErr w:type="spellStart"/>
      <w:r>
        <w:t>киритилиши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фақат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вакиллари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</w:t>
      </w:r>
    </w:p>
    <w:p w14:paraId="60246504" w14:textId="77777777" w:rsidR="004B66FF" w:rsidRDefault="004D2975">
      <w:pPr>
        <w:spacing w:after="33" w:line="259" w:lineRule="auto"/>
        <w:ind w:left="137" w:right="0" w:firstLine="0"/>
        <w:jc w:val="left"/>
      </w:pPr>
      <w:r>
        <w:t xml:space="preserve"> </w:t>
      </w:r>
    </w:p>
    <w:p w14:paraId="6F4446E8" w14:textId="77777777" w:rsidR="004B66FF" w:rsidRDefault="004D2975">
      <w:pPr>
        <w:numPr>
          <w:ilvl w:val="0"/>
          <w:numId w:val="1"/>
        </w:numPr>
        <w:spacing w:after="0" w:line="270" w:lineRule="auto"/>
        <w:ind w:right="2" w:hanging="348"/>
        <w:jc w:val="center"/>
      </w:pPr>
      <w:proofErr w:type="spellStart"/>
      <w:r>
        <w:rPr>
          <w:b/>
        </w:rPr>
        <w:lastRenderedPageBreak/>
        <w:t>Томонларнинг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жавобгарлиги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низоларни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ҳал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2961272C" w14:textId="77777777" w:rsidR="004B66FF" w:rsidRDefault="004D2975">
      <w:pPr>
        <w:spacing w:after="0" w:line="259" w:lineRule="auto"/>
        <w:ind w:left="137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F288440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жавобгарлик</w:t>
      </w:r>
      <w:proofErr w:type="spellEnd"/>
      <w:r>
        <w:t xml:space="preserve"> </w:t>
      </w:r>
      <w:proofErr w:type="spellStart"/>
      <w:r>
        <w:t>масалалари</w:t>
      </w:r>
      <w:proofErr w:type="spellEnd"/>
      <w:r>
        <w:t xml:space="preserve"> “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субъектлар</w:t>
      </w:r>
      <w:proofErr w:type="spellEnd"/>
      <w:r>
        <w:t xml:space="preserve"> </w:t>
      </w:r>
      <w:proofErr w:type="spellStart"/>
      <w:r>
        <w:t>фаолиятининг</w:t>
      </w:r>
      <w:proofErr w:type="spellEnd"/>
      <w:r>
        <w:t xml:space="preserve"> </w:t>
      </w:r>
      <w:proofErr w:type="spellStart"/>
      <w:r>
        <w:t>шартномавий-ҳуқуқий</w:t>
      </w:r>
      <w:proofErr w:type="spellEnd"/>
      <w:r>
        <w:t xml:space="preserve"> </w:t>
      </w:r>
      <w:proofErr w:type="spellStart"/>
      <w:r>
        <w:t>асослари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”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Қонунига</w:t>
      </w:r>
      <w:proofErr w:type="spellEnd"/>
      <w:r>
        <w:t xml:space="preserve">,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фуқаролик</w:t>
      </w:r>
      <w:proofErr w:type="spellEnd"/>
      <w:r>
        <w:t xml:space="preserve"> </w:t>
      </w:r>
      <w:proofErr w:type="spellStart"/>
      <w:r>
        <w:t>кодексига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,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қонунчилигига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тартибга</w:t>
      </w:r>
      <w:proofErr w:type="spellEnd"/>
      <w:r>
        <w:t xml:space="preserve"> </w:t>
      </w:r>
      <w:proofErr w:type="spellStart"/>
      <w:r>
        <w:t>солинади</w:t>
      </w:r>
      <w:proofErr w:type="spellEnd"/>
      <w:r>
        <w:t xml:space="preserve">. </w:t>
      </w:r>
    </w:p>
    <w:p w14:paraId="206646B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тинч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даъво</w:t>
      </w:r>
      <w:proofErr w:type="spellEnd"/>
      <w:r>
        <w:t xml:space="preserve"> </w:t>
      </w:r>
      <w:proofErr w:type="spellStart"/>
      <w:r>
        <w:t>аризаси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. </w:t>
      </w:r>
      <w:proofErr w:type="spellStart"/>
      <w:r>
        <w:t>Низоларни</w:t>
      </w:r>
      <w:proofErr w:type="spellEnd"/>
      <w:r>
        <w:t xml:space="preserve"> </w:t>
      </w:r>
      <w:proofErr w:type="spellStart"/>
      <w:r>
        <w:t>тинч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этишнинг</w:t>
      </w:r>
      <w:proofErr w:type="spellEnd"/>
      <w:r>
        <w:t xml:space="preserve"> </w:t>
      </w:r>
      <w:proofErr w:type="spellStart"/>
      <w:r>
        <w:t>иложи</w:t>
      </w:r>
      <w:proofErr w:type="spellEnd"/>
      <w:r>
        <w:t xml:space="preserve"> </w:t>
      </w:r>
      <w:proofErr w:type="spellStart"/>
      <w:r>
        <w:t>бўлмаса</w:t>
      </w:r>
      <w:proofErr w:type="spellEnd"/>
      <w:r>
        <w:t xml:space="preserve">,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битимдан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чиқадиган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,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даъволар</w:t>
      </w:r>
      <w:proofErr w:type="spellEnd"/>
      <w:r>
        <w:t xml:space="preserve">, шу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, </w:t>
      </w:r>
      <w:proofErr w:type="spellStart"/>
      <w:r>
        <w:t>ўзгартириш</w:t>
      </w:r>
      <w:proofErr w:type="spellEnd"/>
      <w:r>
        <w:t xml:space="preserve">,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, </w:t>
      </w:r>
      <w:proofErr w:type="spellStart"/>
      <w:r>
        <w:t>бузиш</w:t>
      </w:r>
      <w:proofErr w:type="spellEnd"/>
      <w:r>
        <w:t xml:space="preserve">, </w:t>
      </w:r>
      <w:proofErr w:type="spellStart"/>
      <w:r>
        <w:t>тугатиш</w:t>
      </w:r>
      <w:proofErr w:type="spellEnd"/>
      <w:r>
        <w:t xml:space="preserve">,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даъволар</w:t>
      </w:r>
      <w:proofErr w:type="spellEnd"/>
      <w:r>
        <w:t xml:space="preserve"> </w:t>
      </w:r>
      <w:proofErr w:type="spellStart"/>
      <w:r>
        <w:t>Тошкент</w:t>
      </w:r>
      <w:proofErr w:type="spellEnd"/>
      <w:r>
        <w:t xml:space="preserve"> </w:t>
      </w:r>
      <w:proofErr w:type="spellStart"/>
      <w:r>
        <w:t>туманлараро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. </w:t>
      </w:r>
    </w:p>
    <w:p w14:paraId="0EB4C968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календарь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0,5</w:t>
      </w:r>
      <w:proofErr w:type="gramStart"/>
      <w:r>
        <w:t>%  (</w:t>
      </w:r>
      <w:proofErr w:type="gramEnd"/>
      <w:r>
        <w:t xml:space="preserve">ноль бутун </w:t>
      </w:r>
      <w:proofErr w:type="spellStart"/>
      <w:r>
        <w:t>ўндан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</w:t>
      </w:r>
      <w:proofErr w:type="spellStart"/>
      <w:r>
        <w:t>миқдорида</w:t>
      </w:r>
      <w:proofErr w:type="spellEnd"/>
      <w:r>
        <w:t xml:space="preserve">, </w:t>
      </w:r>
      <w:proofErr w:type="spellStart"/>
      <w:r>
        <w:t>лекин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50% (</w:t>
      </w:r>
      <w:proofErr w:type="spellStart"/>
      <w:r>
        <w:t>эллик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дан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миқдорда</w:t>
      </w:r>
      <w:proofErr w:type="spellEnd"/>
      <w:r>
        <w:t xml:space="preserve"> жарима </w:t>
      </w:r>
      <w:proofErr w:type="spellStart"/>
      <w:r>
        <w:t>шаклида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. </w:t>
      </w:r>
    </w:p>
    <w:p w14:paraId="489F6137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шаклида</w:t>
      </w:r>
      <w:proofErr w:type="spellEnd"/>
      <w: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календарь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тўланмаган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суммасининг</w:t>
      </w:r>
      <w:proofErr w:type="spellEnd"/>
      <w:r>
        <w:t xml:space="preserve"> 0,5% (ноль бутун </w:t>
      </w:r>
      <w:proofErr w:type="spellStart"/>
      <w:r>
        <w:t>ўндан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</w:t>
      </w:r>
      <w:proofErr w:type="spellStart"/>
      <w:r>
        <w:t>миқдорида</w:t>
      </w:r>
      <w:proofErr w:type="spellEnd"/>
      <w:r>
        <w:t xml:space="preserve"> жарима (пеня) </w:t>
      </w:r>
      <w:proofErr w:type="spellStart"/>
      <w:r>
        <w:t>шаклида</w:t>
      </w:r>
      <w:proofErr w:type="spellEnd"/>
      <w:r>
        <w:t xml:space="preserve">, </w:t>
      </w:r>
      <w:proofErr w:type="spellStart"/>
      <w:r>
        <w:t>лекин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50% (</w:t>
      </w:r>
      <w:proofErr w:type="spellStart"/>
      <w:r>
        <w:t>эллик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дан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миқдорда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.  </w:t>
      </w:r>
    </w:p>
    <w:p w14:paraId="25614AEE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Жарималар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жарималар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томонларни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бажаришдан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 xml:space="preserve">. </w:t>
      </w:r>
    </w:p>
    <w:p w14:paraId="20845F09" w14:textId="77777777" w:rsidR="004B66FF" w:rsidRDefault="004D2975">
      <w:pPr>
        <w:spacing w:after="24" w:line="259" w:lineRule="auto"/>
        <w:ind w:left="137" w:right="0" w:firstLine="0"/>
        <w:jc w:val="left"/>
      </w:pPr>
      <w:r>
        <w:t xml:space="preserve"> </w:t>
      </w:r>
    </w:p>
    <w:p w14:paraId="113E9631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r>
        <w:rPr>
          <w:b/>
        </w:rPr>
        <w:t xml:space="preserve">Форс-Мажор. </w:t>
      </w:r>
    </w:p>
    <w:p w14:paraId="163BFF70" w14:textId="3B3F57C0" w:rsidR="004B66FF" w:rsidRDefault="004D2975" w:rsidP="005B2E7B">
      <w:pPr>
        <w:spacing w:after="0" w:line="259" w:lineRule="auto"/>
        <w:ind w:left="857" w:right="0" w:firstLine="0"/>
        <w:jc w:val="left"/>
      </w:pPr>
      <w:r>
        <w:t xml:space="preserve">  </w:t>
      </w:r>
    </w:p>
    <w:p w14:paraId="16C333C5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тўғри</w:t>
      </w:r>
      <w:proofErr w:type="spellEnd"/>
      <w:r>
        <w:t xml:space="preserve"> </w:t>
      </w:r>
      <w:proofErr w:type="spellStart"/>
      <w:r>
        <w:t>бажарилмагани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 xml:space="preserve">, агар улар </w:t>
      </w:r>
      <w:proofErr w:type="spellStart"/>
      <w:r>
        <w:t>фавқулодда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(</w:t>
      </w:r>
      <w:proofErr w:type="spellStart"/>
      <w:r>
        <w:t>ёнғин</w:t>
      </w:r>
      <w:proofErr w:type="spellEnd"/>
      <w:r>
        <w:t xml:space="preserve">,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тошқини</w:t>
      </w:r>
      <w:proofErr w:type="spellEnd"/>
      <w:r>
        <w:t xml:space="preserve">, </w:t>
      </w:r>
      <w:proofErr w:type="spellStart"/>
      <w:r>
        <w:t>зилзилалар</w:t>
      </w:r>
      <w:proofErr w:type="spellEnd"/>
      <w:r>
        <w:t xml:space="preserve">, </w:t>
      </w:r>
      <w:proofErr w:type="spellStart"/>
      <w:r>
        <w:t>кўчкилар</w:t>
      </w:r>
      <w:proofErr w:type="spellEnd"/>
      <w:r>
        <w:t xml:space="preserve">, </w:t>
      </w:r>
      <w:proofErr w:type="spellStart"/>
      <w:r>
        <w:t>бўронлар</w:t>
      </w:r>
      <w:proofErr w:type="spellEnd"/>
      <w:r>
        <w:t xml:space="preserve">, </w:t>
      </w:r>
      <w:proofErr w:type="spellStart"/>
      <w:r>
        <w:t>қурғоқчилик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)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ижтимоийиқтисодий</w:t>
      </w:r>
      <w:proofErr w:type="spellEnd"/>
      <w:r>
        <w:t xml:space="preserve"> </w:t>
      </w:r>
      <w:proofErr w:type="spellStart"/>
      <w:r>
        <w:t>шароитлар</w:t>
      </w:r>
      <w:proofErr w:type="spellEnd"/>
      <w:r>
        <w:t xml:space="preserve"> (</w:t>
      </w:r>
      <w:proofErr w:type="spellStart"/>
      <w:r>
        <w:t>уруш</w:t>
      </w:r>
      <w:proofErr w:type="spellEnd"/>
      <w:r>
        <w:t xml:space="preserve"> </w:t>
      </w:r>
      <w:proofErr w:type="spellStart"/>
      <w:r>
        <w:t>ҳолати</w:t>
      </w:r>
      <w:proofErr w:type="spellEnd"/>
      <w:r>
        <w:t xml:space="preserve">, </w:t>
      </w:r>
      <w:proofErr w:type="spellStart"/>
      <w:r>
        <w:t>ҳарбий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, КОВИД -2019 </w:t>
      </w:r>
      <w:proofErr w:type="spellStart"/>
      <w:r>
        <w:t>тарқалиши</w:t>
      </w:r>
      <w:proofErr w:type="spellEnd"/>
      <w:r>
        <w:t xml:space="preserve">)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ҳукумат</w:t>
      </w:r>
      <w:proofErr w:type="spellEnd"/>
      <w:r>
        <w:t xml:space="preserve"> </w:t>
      </w:r>
      <w:proofErr w:type="spellStart"/>
      <w:r>
        <w:t>қарорлари</w:t>
      </w:r>
      <w:proofErr w:type="spellEnd"/>
      <w:r>
        <w:t xml:space="preserve">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юзага</w:t>
      </w:r>
      <w:proofErr w:type="spellEnd"/>
      <w:r>
        <w:t xml:space="preserve"> </w:t>
      </w:r>
      <w:proofErr w:type="spellStart"/>
      <w:r>
        <w:t>келган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ҳолатларни</w:t>
      </w:r>
      <w:proofErr w:type="spellEnd"/>
      <w:r>
        <w:t xml:space="preserve"> </w:t>
      </w:r>
      <w:proofErr w:type="spellStart"/>
      <w:r>
        <w:t>тасдиқловчи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тарафидан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ҳужжатлар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>.</w:t>
      </w:r>
      <w:r>
        <w:rPr>
          <w:rFonts w:ascii="Calibri" w:eastAsia="Calibri" w:hAnsi="Calibri" w:cs="Calibri"/>
          <w:sz w:val="26"/>
        </w:rPr>
        <w:t xml:space="preserve">   </w:t>
      </w:r>
    </w:p>
    <w:p w14:paraId="59A5DC5D" w14:textId="77777777" w:rsidR="004B66FF" w:rsidRDefault="004D2975">
      <w:pPr>
        <w:spacing w:after="31" w:line="259" w:lineRule="auto"/>
        <w:ind w:left="704" w:right="0" w:firstLine="0"/>
        <w:jc w:val="left"/>
      </w:pPr>
      <w:r>
        <w:t xml:space="preserve"> </w:t>
      </w:r>
    </w:p>
    <w:p w14:paraId="4B03C6C8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бошқа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шартлари</w:t>
      </w:r>
      <w:proofErr w:type="spellEnd"/>
      <w:r>
        <w:rPr>
          <w:b/>
        </w:rPr>
        <w:t xml:space="preserve"> </w:t>
      </w:r>
    </w:p>
    <w:p w14:paraId="6AEDCF2E" w14:textId="77777777" w:rsidR="004B66FF" w:rsidRDefault="004D2975">
      <w:pPr>
        <w:spacing w:after="0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40320076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,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ёзган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вакили</w:t>
      </w:r>
      <w:proofErr w:type="spellEnd"/>
      <w:r>
        <w:t xml:space="preserve">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остида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манзилига</w:t>
      </w:r>
      <w:proofErr w:type="spellEnd"/>
      <w:r>
        <w:t xml:space="preserve"> </w:t>
      </w:r>
      <w:proofErr w:type="spellStart"/>
      <w:r>
        <w:t>етказилади</w:t>
      </w:r>
      <w:proofErr w:type="spellEnd"/>
      <w:r>
        <w:t xml:space="preserve">. </w:t>
      </w:r>
    </w:p>
    <w:p w14:paraId="5948864F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мазмун</w:t>
      </w:r>
      <w:proofErr w:type="spellEnd"/>
      <w:r>
        <w:t xml:space="preserve"> </w:t>
      </w:r>
      <w:proofErr w:type="spellStart"/>
      <w:r>
        <w:t>жиҳатидан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қонуний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тарафнинг</w:t>
      </w:r>
      <w:proofErr w:type="spellEnd"/>
      <w:r>
        <w:t xml:space="preserve">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муҳрлари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тасдиқланади</w:t>
      </w:r>
      <w:proofErr w:type="spellEnd"/>
      <w:r>
        <w:t xml:space="preserve">. </w:t>
      </w:r>
    </w:p>
    <w:p w14:paraId="7F0A48A5" w14:textId="331F941E" w:rsidR="004B66FF" w:rsidRDefault="004D2975" w:rsidP="005B2E7B">
      <w:pPr>
        <w:spacing w:after="0" w:line="259" w:lineRule="auto"/>
        <w:ind w:left="137" w:right="0" w:firstLine="0"/>
        <w:jc w:val="left"/>
      </w:pPr>
      <w:r>
        <w:t xml:space="preserve"> </w:t>
      </w:r>
      <w:r>
        <w:rPr>
          <w:b/>
        </w:rPr>
        <w:t xml:space="preserve">                       </w:t>
      </w:r>
      <w:proofErr w:type="spellStart"/>
      <w:r>
        <w:rPr>
          <w:b/>
        </w:rPr>
        <w:t>Ижрочи</w:t>
      </w:r>
      <w:proofErr w:type="spellEnd"/>
      <w:r>
        <w:rPr>
          <w:b/>
        </w:rPr>
        <w:t xml:space="preserve">                                                                                  </w:t>
      </w:r>
      <w:proofErr w:type="spellStart"/>
      <w:r>
        <w:rPr>
          <w:b/>
        </w:rPr>
        <w:t>Буюртмачи</w:t>
      </w:r>
      <w:proofErr w:type="spellEnd"/>
      <w:r>
        <w:rPr>
          <w:b/>
        </w:rPr>
        <w:t xml:space="preserve"> </w:t>
      </w:r>
    </w:p>
    <w:p w14:paraId="326F4CDA" w14:textId="1BFB1037" w:rsidR="004B66FF" w:rsidRDefault="004D2975" w:rsidP="005B2E7B">
      <w:pPr>
        <w:spacing w:after="0" w:line="259" w:lineRule="auto"/>
        <w:ind w:left="13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2E40B9A" w14:textId="77777777" w:rsidR="004B66FF" w:rsidRDefault="004D2975">
      <w:pPr>
        <w:tabs>
          <w:tab w:val="center" w:pos="5524"/>
        </w:tabs>
        <w:ind w:left="0" w:right="0" w:firstLine="0"/>
        <w:jc w:val="left"/>
      </w:pPr>
      <w:r>
        <w:t xml:space="preserve">___________________ /   </w:t>
      </w:r>
      <w:r>
        <w:tab/>
        <w:t xml:space="preserve">                   ___________________ / ____________. </w:t>
      </w:r>
    </w:p>
    <w:p w14:paraId="319E0CEE" w14:textId="77777777" w:rsidR="004B66FF" w:rsidRDefault="004D2975">
      <w:pPr>
        <w:ind w:left="132" w:right="41"/>
      </w:pPr>
      <w:r>
        <w:t xml:space="preserve">M. Ж                                                                                M. Ж </w:t>
      </w:r>
    </w:p>
    <w:p w14:paraId="33F9610A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lastRenderedPageBreak/>
        <w:t xml:space="preserve">1-илова </w:t>
      </w:r>
    </w:p>
    <w:p w14:paraId="010C98F3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t>“___</w:t>
      </w:r>
      <w:proofErr w:type="gramStart"/>
      <w:r>
        <w:rPr>
          <w:sz w:val="20"/>
        </w:rPr>
        <w:t>_”_</w:t>
      </w:r>
      <w:proofErr w:type="gramEnd"/>
      <w:r>
        <w:rPr>
          <w:sz w:val="20"/>
        </w:rPr>
        <w:t xml:space="preserve">________ 2022 </w:t>
      </w:r>
      <w:proofErr w:type="spellStart"/>
      <w:r>
        <w:rPr>
          <w:sz w:val="20"/>
        </w:rPr>
        <w:t>йилдаги</w:t>
      </w:r>
      <w:proofErr w:type="spellEnd"/>
      <w:r>
        <w:rPr>
          <w:sz w:val="20"/>
        </w:rPr>
        <w:t xml:space="preserve"> </w:t>
      </w:r>
    </w:p>
    <w:p w14:paraId="5B544D5C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t>______-</w:t>
      </w:r>
      <w:proofErr w:type="spellStart"/>
      <w:r>
        <w:rPr>
          <w:sz w:val="20"/>
        </w:rPr>
        <w:t>сонли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шартномага</w:t>
      </w:r>
      <w:proofErr w:type="spellEnd"/>
      <w:r>
        <w:rPr>
          <w:sz w:val="20"/>
        </w:rPr>
        <w:t xml:space="preserve">  </w:t>
      </w:r>
    </w:p>
    <w:p w14:paraId="4C28AD45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F8C161E" w14:textId="77777777" w:rsidR="004B66FF" w:rsidRDefault="004D2975">
      <w:pPr>
        <w:spacing w:after="51" w:line="259" w:lineRule="auto"/>
        <w:ind w:left="137" w:right="0" w:firstLine="0"/>
        <w:jc w:val="left"/>
      </w:pPr>
      <w:r>
        <w:rPr>
          <w:sz w:val="20"/>
        </w:rPr>
        <w:t xml:space="preserve"> </w:t>
      </w:r>
    </w:p>
    <w:p w14:paraId="4C3965DF" w14:textId="77777777" w:rsidR="004B66FF" w:rsidRDefault="004D2975">
      <w:pPr>
        <w:pStyle w:val="1"/>
        <w:ind w:left="98" w:right="3"/>
      </w:pPr>
      <w:r>
        <w:t xml:space="preserve">Спецификация </w:t>
      </w:r>
    </w:p>
    <w:p w14:paraId="51060835" w14:textId="77777777" w:rsidR="004B66FF" w:rsidRDefault="004D2975">
      <w:pPr>
        <w:spacing w:after="0" w:line="259" w:lineRule="auto"/>
        <w:ind w:left="137" w:right="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9787" w:type="dxa"/>
        <w:tblInd w:w="161" w:type="dxa"/>
        <w:tblCellMar>
          <w:top w:w="2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106"/>
        <w:gridCol w:w="1345"/>
        <w:gridCol w:w="1495"/>
        <w:gridCol w:w="1841"/>
      </w:tblGrid>
      <w:tr w:rsidR="004B66FF" w14:paraId="5B0383AF" w14:textId="77777777">
        <w:trPr>
          <w:trHeight w:val="70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F75BE2E" w14:textId="77777777" w:rsidR="004B66FF" w:rsidRDefault="004D2975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  <w:sz w:val="20"/>
              </w:rPr>
              <w:t>Бажариладиган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ишлар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30DDE41" w14:textId="77777777" w:rsidR="004B66FF" w:rsidRDefault="004D2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0"/>
              </w:rPr>
              <w:t>Улчам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бирлиги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6141AB0" w14:textId="77777777" w:rsidR="004B66FF" w:rsidRDefault="004D2975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rPr>
                <w:b/>
                <w:sz w:val="20"/>
              </w:rPr>
              <w:t>нархи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1C5098D2" w14:textId="77777777" w:rsidR="004B66FF" w:rsidRDefault="004D2975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  <w:sz w:val="20"/>
              </w:rPr>
              <w:t>Қиймати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4B66FF" w14:paraId="2A26979A" w14:textId="77777777">
        <w:trPr>
          <w:trHeight w:val="45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  <w:shd w:val="clear" w:color="auto" w:fill="808080"/>
          </w:tcPr>
          <w:p w14:paraId="30DFB0C9" w14:textId="5A109F79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auto" w:fill="808080"/>
          </w:tcPr>
          <w:p w14:paraId="108DCB31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2AB8C4CF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  <w:shd w:val="clear" w:color="auto" w:fill="808080"/>
          </w:tcPr>
          <w:p w14:paraId="0D6300E9" w14:textId="77777777" w:rsidR="004B66FF" w:rsidRDefault="004D297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4B66FF" w14:paraId="7C8C5ED7" w14:textId="77777777">
        <w:trPr>
          <w:trHeight w:val="455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2592C830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B1699BB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D144890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0E30ADE8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E1EF380" w14:textId="77777777">
        <w:trPr>
          <w:trHeight w:val="449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301F5BD6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3E12F2CA" w14:textId="77777777" w:rsidR="004B66FF" w:rsidRDefault="004D297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77F9053F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  <w:shd w:val="clear" w:color="auto" w:fill="808080"/>
          </w:tcPr>
          <w:p w14:paraId="274B483C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6E3BBCF" w14:textId="77777777">
        <w:trPr>
          <w:trHeight w:val="456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47036D6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FF49890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58DD0F0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7C954E24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16B6B9BF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9A8AA12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6916563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2EB2936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6298B077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4DF5E540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B00992B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100FD15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DF9EF35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785AC9A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8DDBD7C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D68B844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571F7BF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03A3BB8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511D9D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6DF3E879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DBAE503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5F068F3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2F70958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4A2E515B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4BF9BFEA" w14:textId="77777777">
        <w:trPr>
          <w:trHeight w:val="516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12A50AF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F66249E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C97691C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7A83B5A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76D0D6DA" w14:textId="77777777">
        <w:trPr>
          <w:trHeight w:val="45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7445424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235CC4A4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8F0A012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023999E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50B3C605" w14:textId="77777777">
        <w:trPr>
          <w:trHeight w:val="46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4CF570B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14B167D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8AA9CEB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64529F3D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364524BD" w14:textId="77777777">
        <w:trPr>
          <w:trHeight w:val="617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BC08602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3E1CC8C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870FE2F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1D43D6C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7100BF3F" w14:textId="77777777">
        <w:trPr>
          <w:trHeight w:val="475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59F2B99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6584442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33F49E1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E021587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5F6D4ABD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4B5C09C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BAAE9BB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6D5623B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3264D39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7BF99E2" w14:textId="77777777">
        <w:trPr>
          <w:trHeight w:val="49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</w:tcPr>
          <w:p w14:paraId="7ED915FD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</w:tcPr>
          <w:p w14:paraId="692D893D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</w:tcPr>
          <w:p w14:paraId="12F6CC98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double" w:sz="6" w:space="0" w:color="3F3F3F"/>
              <w:left w:val="nil"/>
              <w:bottom w:val="double" w:sz="6" w:space="0" w:color="3F3F3F"/>
              <w:right w:val="double" w:sz="7" w:space="0" w:color="3F3F3F"/>
            </w:tcBorders>
          </w:tcPr>
          <w:p w14:paraId="2113981F" w14:textId="77777777" w:rsidR="004B66FF" w:rsidRDefault="004D2975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C7F248E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14AA30EF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6023F007" w14:textId="77777777" w:rsidR="004B66FF" w:rsidRDefault="004D2975">
      <w:pPr>
        <w:spacing w:after="0" w:line="281" w:lineRule="auto"/>
        <w:ind w:left="137" w:right="0" w:firstLine="0"/>
        <w:jc w:val="left"/>
      </w:pPr>
      <w:proofErr w:type="spellStart"/>
      <w:r>
        <w:rPr>
          <w:b/>
          <w:sz w:val="20"/>
        </w:rPr>
        <w:t>Жами</w:t>
      </w:r>
      <w:proofErr w:type="spellEnd"/>
      <w:r>
        <w:rPr>
          <w:b/>
          <w:sz w:val="20"/>
        </w:rPr>
        <w:t xml:space="preserve">: _______________________________________________________________________ </w:t>
      </w:r>
      <w:proofErr w:type="spellStart"/>
      <w:r>
        <w:rPr>
          <w:b/>
          <w:sz w:val="20"/>
        </w:rPr>
        <w:t>сўм</w:t>
      </w:r>
      <w:proofErr w:type="spellEnd"/>
      <w:r>
        <w:rPr>
          <w:b/>
          <w:sz w:val="20"/>
        </w:rPr>
        <w:t xml:space="preserve">, шу </w:t>
      </w:r>
      <w:proofErr w:type="spellStart"/>
      <w:r>
        <w:rPr>
          <w:b/>
          <w:sz w:val="20"/>
        </w:rPr>
        <w:t>жумладан</w:t>
      </w:r>
      <w:proofErr w:type="spellEnd"/>
      <w:r>
        <w:rPr>
          <w:b/>
          <w:sz w:val="20"/>
        </w:rPr>
        <w:t xml:space="preserve"> ҚҚС 00 </w:t>
      </w:r>
      <w:proofErr w:type="spellStart"/>
      <w:r>
        <w:rPr>
          <w:b/>
          <w:sz w:val="20"/>
        </w:rPr>
        <w:t>тийин</w:t>
      </w:r>
      <w:proofErr w:type="spellEnd"/>
      <w:r>
        <w:rPr>
          <w:b/>
          <w:sz w:val="20"/>
        </w:rPr>
        <w:t xml:space="preserve">. </w:t>
      </w:r>
    </w:p>
    <w:p w14:paraId="5DBC2704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                 </w:t>
      </w:r>
    </w:p>
    <w:p w14:paraId="1631A291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09364D8D" w14:textId="77777777" w:rsidR="004B66FF" w:rsidRDefault="004D2975">
      <w:pPr>
        <w:spacing w:after="3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0349C888" w14:textId="77777777" w:rsidR="004B66FF" w:rsidRDefault="004D2975">
      <w:pPr>
        <w:pStyle w:val="1"/>
        <w:ind w:left="98"/>
      </w:pPr>
      <w:proofErr w:type="spellStart"/>
      <w:r>
        <w:t>Ижрочи</w:t>
      </w:r>
      <w:proofErr w:type="spellEnd"/>
      <w:r>
        <w:t xml:space="preserve">                                                                                  </w:t>
      </w:r>
      <w:proofErr w:type="spellStart"/>
      <w:r>
        <w:t>Буюртмачи</w:t>
      </w:r>
      <w:proofErr w:type="spellEnd"/>
      <w:r>
        <w:t xml:space="preserve"> </w:t>
      </w:r>
    </w:p>
    <w:p w14:paraId="409EC69F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4E66F439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color w:val="C00000"/>
          <w:sz w:val="22"/>
        </w:rPr>
        <w:t xml:space="preserve"> </w:t>
      </w:r>
    </w:p>
    <w:p w14:paraId="5EB41044" w14:textId="77777777" w:rsidR="004B66FF" w:rsidRDefault="004D2975">
      <w:pPr>
        <w:tabs>
          <w:tab w:val="center" w:pos="5751"/>
        </w:tabs>
        <w:spacing w:after="3" w:line="259" w:lineRule="auto"/>
        <w:ind w:left="0" w:right="0" w:firstLine="0"/>
        <w:jc w:val="left"/>
      </w:pPr>
      <w:r>
        <w:rPr>
          <w:sz w:val="22"/>
        </w:rPr>
        <w:t xml:space="preserve">___________________ /   </w:t>
      </w:r>
      <w:r>
        <w:rPr>
          <w:sz w:val="22"/>
        </w:rPr>
        <w:tab/>
        <w:t xml:space="preserve">                                   ___________________ / ____________. </w:t>
      </w:r>
    </w:p>
    <w:p w14:paraId="3CE0DE37" w14:textId="77777777" w:rsidR="004B66FF" w:rsidRDefault="004D2975">
      <w:pPr>
        <w:spacing w:after="3" w:line="259" w:lineRule="auto"/>
        <w:ind w:left="132" w:right="0"/>
        <w:jc w:val="left"/>
      </w:pPr>
      <w:r>
        <w:rPr>
          <w:sz w:val="22"/>
        </w:rPr>
        <w:t>M. Ж                                                                                                    M. Ж</w:t>
      </w:r>
      <w:r>
        <w:rPr>
          <w:sz w:val="20"/>
        </w:rPr>
        <w:t xml:space="preserve"> </w:t>
      </w:r>
    </w:p>
    <w:p w14:paraId="19B9B1D5" w14:textId="77777777" w:rsidR="004B66FF" w:rsidRDefault="004D297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bookmarkEnd w:id="0"/>
    </w:p>
    <w:sectPr w:rsidR="004B66FF">
      <w:pgSz w:w="11906" w:h="16838"/>
      <w:pgMar w:top="855" w:right="728" w:bottom="131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7C8"/>
    <w:multiLevelType w:val="multilevel"/>
    <w:tmpl w:val="B26EAC4A"/>
    <w:lvl w:ilvl="0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E37B8"/>
    <w:multiLevelType w:val="multilevel"/>
    <w:tmpl w:val="B75A82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FF"/>
    <w:rsid w:val="004A5278"/>
    <w:rsid w:val="004B66FF"/>
    <w:rsid w:val="004D2975"/>
    <w:rsid w:val="005B2E7B"/>
    <w:rsid w:val="0068180F"/>
    <w:rsid w:val="00705429"/>
    <w:rsid w:val="007B3E2F"/>
    <w:rsid w:val="00B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23F"/>
  <w15:docId w15:val="{7936C54B-59F7-44BA-BAD0-A9838CA3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47" w:right="1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AAA</cp:lastModifiedBy>
  <cp:revision>8</cp:revision>
  <dcterms:created xsi:type="dcterms:W3CDTF">2022-06-09T07:11:00Z</dcterms:created>
  <dcterms:modified xsi:type="dcterms:W3CDTF">2022-10-21T12:03:00Z</dcterms:modified>
</cp:coreProperties>
</file>