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632F6B" w:rsidP="00346ABF">
      <w:pPr>
        <w:spacing w:before="60" w:after="60"/>
        <w:jc w:val="center"/>
        <w:rPr>
          <w:rFonts w:ascii="Times New Roman" w:hAnsi="Times New Roman"/>
          <w:sz w:val="28"/>
          <w:lang w:val="ru-RU"/>
        </w:rPr>
      </w:pPr>
      <w:r w:rsidRPr="00632F6B">
        <w:rPr>
          <w:rFonts w:ascii="Times New Roman" w:hAnsi="Times New Roman"/>
          <w:sz w:val="28"/>
          <w:szCs w:val="28"/>
          <w:lang w:val="ru-RU"/>
        </w:rPr>
        <w:t xml:space="preserve">Услуга по разработке проектно-сметных работ на </w:t>
      </w:r>
      <w:r>
        <w:rPr>
          <w:rFonts w:ascii="Times New Roman" w:hAnsi="Times New Roman"/>
          <w:sz w:val="28"/>
          <w:szCs w:val="28"/>
          <w:lang w:val="ru-RU"/>
        </w:rPr>
        <w:t>с</w:t>
      </w:r>
      <w:r w:rsidR="005E523E" w:rsidRPr="005E523E">
        <w:rPr>
          <w:rFonts w:ascii="Times New Roman" w:hAnsi="Times New Roman"/>
          <w:sz w:val="28"/>
          <w:szCs w:val="28"/>
          <w:lang w:val="ru-RU"/>
        </w:rPr>
        <w:t>троительство подводящего газопровода высокого давления для улучшения подачи газа населению на территории ССГ "АКЧАКУЛЬ" Элликкалинского района РК</w:t>
      </w:r>
      <w:r w:rsidR="000E069A">
        <w:rPr>
          <w:rFonts w:ascii="Times New Roman" w:hAnsi="Times New Roman"/>
          <w:sz w:val="28"/>
          <w:lang w:val="ru-RU"/>
        </w:rPr>
        <w:t>.</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632F6B">
        <w:rPr>
          <w:rFonts w:ascii="Times New Roman" w:eastAsia="MS Mincho" w:hAnsi="Times New Roman"/>
          <w:sz w:val="28"/>
          <w:szCs w:val="28"/>
          <w:lang w:val="ru-RU" w:eastAsia="ja-JP"/>
        </w:rPr>
        <w:t>0</w:t>
      </w:r>
      <w:r w:rsidR="00465C2A">
        <w:rPr>
          <w:rFonts w:ascii="Times New Roman" w:eastAsia="MS Mincho" w:hAnsi="Times New Roman"/>
          <w:sz w:val="28"/>
          <w:szCs w:val="28"/>
          <w:lang w:val="ru-RU" w:eastAsia="ja-JP"/>
        </w:rPr>
        <w:t>7</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5E523E" w:rsidRPr="005E523E">
        <w:rPr>
          <w:rFonts w:ascii="Times New Roman" w:hAnsi="Times New Roman"/>
          <w:sz w:val="28"/>
          <w:szCs w:val="28"/>
          <w:lang w:val="ru-RU"/>
        </w:rPr>
        <w:t>Элликкалинский районный отдел поддержки семьи и махалли</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E62936"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E62936"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E62936"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E62936"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465C2A" w:rsidTr="005E523E">
        <w:trPr>
          <w:trHeight w:val="881"/>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632F6B" w:rsidP="00632F6B">
            <w:pPr>
              <w:spacing w:before="60" w:after="60"/>
              <w:jc w:val="center"/>
              <w:rPr>
                <w:rFonts w:ascii="Times New Roman" w:hAnsi="Times New Roman"/>
                <w:sz w:val="20"/>
                <w:szCs w:val="20"/>
                <w:lang w:val="ru-RU"/>
              </w:rPr>
            </w:pPr>
            <w:r w:rsidRPr="00632F6B">
              <w:rPr>
                <w:rFonts w:ascii="Times New Roman" w:hAnsi="Times New Roman"/>
                <w:sz w:val="20"/>
                <w:szCs w:val="20"/>
                <w:lang w:val="ru-RU"/>
              </w:rPr>
              <w:t xml:space="preserve">Услуга по разработке проектно-сметных работ на </w:t>
            </w:r>
            <w:r>
              <w:rPr>
                <w:rFonts w:ascii="Times New Roman" w:hAnsi="Times New Roman"/>
                <w:sz w:val="20"/>
                <w:szCs w:val="20"/>
                <w:lang w:val="ru-RU"/>
              </w:rPr>
              <w:t>с</w:t>
            </w:r>
            <w:r w:rsidR="005E523E" w:rsidRPr="005E523E">
              <w:rPr>
                <w:rFonts w:ascii="Times New Roman" w:hAnsi="Times New Roman"/>
                <w:sz w:val="20"/>
                <w:szCs w:val="20"/>
                <w:lang w:val="ru-RU"/>
              </w:rPr>
              <w:t>троительство подводящего газопровода высокого давления для улучшения подачи газа населению на территории ССГ "АКЧАКУЛЬ" Элликкалинского района РК.</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5E523E">
            <w:pPr>
              <w:rPr>
                <w:rFonts w:ascii="Times New Roman" w:hAnsi="Times New Roman"/>
                <w:sz w:val="20"/>
                <w:szCs w:val="20"/>
                <w:lang w:val="ru-RU"/>
              </w:rPr>
            </w:pPr>
            <w:r>
              <w:rPr>
                <w:rFonts w:ascii="Times New Roman" w:hAnsi="Times New Roman"/>
                <w:sz w:val="20"/>
                <w:szCs w:val="20"/>
                <w:lang w:val="ru-RU"/>
              </w:rPr>
              <w:t>«</w:t>
            </w:r>
            <w:r w:rsidR="005E523E">
              <w:rPr>
                <w:rFonts w:ascii="Times New Roman" w:hAnsi="Times New Roman"/>
                <w:sz w:val="20"/>
                <w:szCs w:val="20"/>
                <w:lang w:val="ru-RU"/>
              </w:rPr>
              <w:t>ОПЕН БЮДЖЕТ</w:t>
            </w:r>
            <w:r>
              <w:rPr>
                <w:rFonts w:ascii="Times New Roman" w:hAnsi="Times New Roman"/>
                <w:sz w:val="20"/>
                <w:szCs w:val="20"/>
                <w:lang w:val="ru-RU"/>
              </w:rPr>
              <w:t>»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632F6B"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26 595 000</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465C2A"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465C2A"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465C2A"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293992">
              <w:rPr>
                <w:rFonts w:ascii="Times New Roman" w:hAnsi="Times New Roman"/>
                <w:iCs/>
                <w:sz w:val="20"/>
                <w:szCs w:val="20"/>
                <w:lang w:val="ru-RU"/>
              </w:rPr>
              <w:t>О.Кулумов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293992">
              <w:rPr>
                <w:rFonts w:ascii="Times New Roman" w:hAnsi="Times New Roman"/>
                <w:iCs/>
                <w:sz w:val="20"/>
                <w:szCs w:val="20"/>
                <w:lang w:val="ru-RU"/>
              </w:rPr>
              <w:t>99 952 85 72</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465C2A"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293992" w:rsidRPr="005E523E">
              <w:rPr>
                <w:rFonts w:ascii="Times New Roman" w:hAnsi="Times New Roman"/>
                <w:sz w:val="20"/>
                <w:szCs w:val="20"/>
                <w:lang w:val="ru-RU"/>
              </w:rPr>
              <w:t xml:space="preserve"> </w:t>
            </w:r>
            <w:r w:rsidR="00632F6B" w:rsidRPr="00632F6B">
              <w:rPr>
                <w:rFonts w:ascii="Times New Roman" w:hAnsi="Times New Roman"/>
                <w:sz w:val="28"/>
                <w:szCs w:val="28"/>
                <w:lang w:val="ru-RU"/>
              </w:rPr>
              <w:t>Услуга по разр</w:t>
            </w:r>
            <w:r w:rsidR="00632F6B">
              <w:rPr>
                <w:rFonts w:ascii="Times New Roman" w:hAnsi="Times New Roman"/>
                <w:sz w:val="28"/>
                <w:szCs w:val="28"/>
                <w:lang w:val="ru-RU"/>
              </w:rPr>
              <w:t xml:space="preserve">аботке проектно-сметных работ </w:t>
            </w:r>
            <w:r w:rsidR="00293992" w:rsidRPr="00293992">
              <w:rPr>
                <w:rFonts w:ascii="Times New Roman" w:hAnsi="Times New Roman"/>
                <w:sz w:val="28"/>
                <w:szCs w:val="28"/>
                <w:lang w:val="ru-RU"/>
              </w:rPr>
              <w:t>.</w:t>
            </w:r>
          </w:p>
          <w:p w:rsidR="00155DD1" w:rsidRPr="00346ABF" w:rsidRDefault="00155DD1" w:rsidP="00723F6E">
            <w:pPr>
              <w:spacing w:before="60" w:after="60"/>
              <w:jc w:val="both"/>
              <w:rPr>
                <w:rFonts w:ascii="Times New Roman" w:hAnsi="Times New Roman"/>
                <w:sz w:val="28"/>
                <w:szCs w:val="28"/>
                <w:lang w:val="ru-RU"/>
              </w:rPr>
            </w:pP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632F6B"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t>26 595 000</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465C2A"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465C2A"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465C2A"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293992" w:rsidP="00346ABF">
            <w:pPr>
              <w:spacing w:before="60" w:after="60"/>
              <w:rPr>
                <w:rFonts w:ascii="Times New Roman" w:hAnsi="Times New Roman"/>
                <w:sz w:val="28"/>
                <w:szCs w:val="28"/>
                <w:lang w:val="ru-RU" w:eastAsia="ru-RU"/>
              </w:rPr>
            </w:pPr>
            <w:r w:rsidRPr="005E523E">
              <w:rPr>
                <w:rFonts w:ascii="Times New Roman" w:hAnsi="Times New Roman"/>
                <w:sz w:val="28"/>
                <w:szCs w:val="28"/>
                <w:lang w:val="ru-RU"/>
              </w:rPr>
              <w:t>Элликкалинский районный отдел поддержки семьи и махалли</w:t>
            </w:r>
            <w:r w:rsidR="00346ABF">
              <w:rPr>
                <w:rFonts w:ascii="Times New Roman" w:hAnsi="Times New Roman"/>
                <w:sz w:val="28"/>
                <w:szCs w:val="28"/>
                <w:lang w:val="ru-RU"/>
              </w:rPr>
              <w:t xml:space="preserve">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465C2A"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293992" w:rsidRPr="005E523E">
              <w:rPr>
                <w:rFonts w:ascii="Times New Roman" w:hAnsi="Times New Roman"/>
                <w:sz w:val="28"/>
                <w:szCs w:val="28"/>
                <w:lang w:val="ru-RU"/>
              </w:rPr>
              <w:t>Элликкалинский районный отдел поддержки семьи и махалли</w:t>
            </w:r>
            <w:r w:rsidR="00293992" w:rsidRPr="003A48E1">
              <w:rPr>
                <w:rFonts w:ascii="Times New Roman" w:hAnsi="Times New Roman"/>
                <w:sz w:val="28"/>
                <w:szCs w:val="28"/>
                <w:lang w:val="ru-RU"/>
              </w:rPr>
              <w:t xml:space="preserve"> </w:t>
            </w:r>
            <w:r w:rsidRPr="003A48E1">
              <w:rPr>
                <w:rFonts w:ascii="Times New Roman" w:hAnsi="Times New Roman"/>
                <w:sz w:val="28"/>
                <w:szCs w:val="28"/>
                <w:lang w:val="ru-RU"/>
              </w:rPr>
              <w:t>(далее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293992">
              <w:rPr>
                <w:rFonts w:ascii="Times New Roman" w:hAnsi="Times New Roman"/>
                <w:sz w:val="28"/>
                <w:szCs w:val="28"/>
                <w:lang w:val="ru-RU"/>
              </w:rPr>
              <w:t>Ш.Рашидов</w:t>
            </w:r>
            <w:r w:rsidR="00BE0C90">
              <w:rPr>
                <w:rFonts w:ascii="Times New Roman" w:hAnsi="Times New Roman"/>
                <w:sz w:val="28"/>
                <w:szCs w:val="28"/>
                <w:lang w:val="ru-RU"/>
              </w:rPr>
              <w:t xml:space="preserve"> дом №</w:t>
            </w:r>
            <w:r w:rsidR="00293992">
              <w:rPr>
                <w:rFonts w:ascii="Times New Roman" w:hAnsi="Times New Roman"/>
                <w:sz w:val="28"/>
                <w:szCs w:val="28"/>
                <w:lang w:val="ru-RU"/>
              </w:rPr>
              <w:t>3</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293992">
              <w:rPr>
                <w:rFonts w:ascii="Times New Roman" w:hAnsi="Times New Roman"/>
                <w:sz w:val="28"/>
                <w:szCs w:val="28"/>
                <w:lang w:val="ru-RU"/>
              </w:rPr>
              <w:t>Кулумов Одил</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293992">
              <w:rPr>
                <w:rFonts w:ascii="Times New Roman" w:hAnsi="Times New Roman"/>
                <w:sz w:val="28"/>
                <w:szCs w:val="28"/>
                <w:lang w:val="ru-RU"/>
              </w:rPr>
              <w:t>9</w:t>
            </w:r>
            <w:r w:rsidR="00BE0C90">
              <w:rPr>
                <w:rFonts w:ascii="Times New Roman" w:hAnsi="Times New Roman"/>
                <w:sz w:val="28"/>
                <w:szCs w:val="28"/>
                <w:lang w:val="ru-RU"/>
              </w:rPr>
              <w:t> </w:t>
            </w:r>
            <w:r w:rsidR="00293992">
              <w:rPr>
                <w:rFonts w:ascii="Times New Roman" w:hAnsi="Times New Roman"/>
                <w:sz w:val="28"/>
                <w:szCs w:val="28"/>
                <w:lang w:val="ru-RU"/>
              </w:rPr>
              <w:t>952</w:t>
            </w:r>
            <w:r w:rsidR="00BE0C90">
              <w:rPr>
                <w:rFonts w:ascii="Times New Roman" w:hAnsi="Times New Roman"/>
                <w:sz w:val="28"/>
                <w:szCs w:val="28"/>
                <w:lang w:val="ru-RU"/>
              </w:rPr>
              <w:t xml:space="preserve"> </w:t>
            </w:r>
            <w:r w:rsidR="00293992">
              <w:rPr>
                <w:rFonts w:ascii="Times New Roman" w:hAnsi="Times New Roman"/>
                <w:sz w:val="28"/>
                <w:szCs w:val="28"/>
                <w:lang w:val="ru-RU"/>
              </w:rPr>
              <w:t>85 72</w:t>
            </w:r>
          </w:p>
          <w:p w:rsidR="00155DD1" w:rsidRPr="00346ABF" w:rsidRDefault="00155DD1" w:rsidP="00D54029">
            <w:pPr>
              <w:spacing w:before="60" w:after="60"/>
              <w:jc w:val="both"/>
              <w:rPr>
                <w:rFonts w:ascii="Times New Roman" w:hAnsi="Times New Roman"/>
                <w:sz w:val="28"/>
                <w:szCs w:val="28"/>
                <w:lang w:val="ru-RU"/>
              </w:rPr>
            </w:pPr>
          </w:p>
        </w:tc>
      </w:tr>
      <w:tr w:rsidR="00155DD1" w:rsidRPr="00465C2A"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293992" w:rsidRPr="005E523E">
              <w:rPr>
                <w:rFonts w:ascii="Times New Roman" w:hAnsi="Times New Roman"/>
                <w:sz w:val="28"/>
                <w:szCs w:val="28"/>
                <w:lang w:val="ru-RU"/>
              </w:rPr>
              <w:t>Элликкалинский районный отдел поддержки семьи и махалли</w:t>
            </w:r>
          </w:p>
          <w:p w:rsidR="00155DD1" w:rsidRPr="00E40656" w:rsidRDefault="00155DD1" w:rsidP="00D77982">
            <w:pPr>
              <w:spacing w:before="60" w:after="60"/>
              <w:rPr>
                <w:rFonts w:ascii="Times New Roman" w:hAnsi="Times New Roman"/>
                <w:sz w:val="28"/>
                <w:szCs w:val="28"/>
                <w:lang w:val="ru-RU"/>
              </w:rPr>
            </w:pP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465C2A"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465C2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65C2A"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465C2A"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465C2A"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465C2A"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65C2A"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65C2A"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65C2A"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465C2A"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465C2A"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465C2A"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465C2A"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465C2A"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465C2A"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465C2A"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465C2A"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465C2A"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465C2A"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465C2A"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465C2A"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465C2A"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465C2A"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465C2A"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465C2A"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465C2A"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465C2A"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465C2A"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465C2A"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465C2A"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465C2A"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465C2A"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465C2A"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465C2A"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465C2A"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465C2A"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41" w:rsidRDefault="009E1441">
      <w:r>
        <w:separator/>
      </w:r>
    </w:p>
  </w:endnote>
  <w:endnote w:type="continuationSeparator" w:id="1">
    <w:p w:rsidR="009E1441" w:rsidRDefault="009E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632F6B" w:rsidRDefault="00E62936">
        <w:pPr>
          <w:pStyle w:val="aa"/>
          <w:jc w:val="right"/>
        </w:pPr>
        <w:fldSimple w:instr="PAGE   \* MERGEFORMAT">
          <w:r w:rsidR="00465C2A">
            <w:rPr>
              <w:noProof/>
            </w:rPr>
            <w:t>3</w:t>
          </w:r>
        </w:fldSimple>
      </w:p>
    </w:sdtContent>
  </w:sdt>
  <w:p w:rsidR="00632F6B" w:rsidRDefault="00632F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41" w:rsidRDefault="009E1441">
      <w:r>
        <w:separator/>
      </w:r>
    </w:p>
  </w:footnote>
  <w:footnote w:type="continuationSeparator" w:id="1">
    <w:p w:rsidR="009E1441" w:rsidRDefault="009E1441">
      <w:r>
        <w:continuationSeparator/>
      </w:r>
    </w:p>
  </w:footnote>
  <w:footnote w:id="2">
    <w:p w:rsidR="00632F6B" w:rsidRPr="00346ABF" w:rsidRDefault="00632F6B"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632F6B" w:rsidRPr="00346ABF" w:rsidRDefault="00632F6B"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632F6B" w:rsidRDefault="00632F6B"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411"/>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992"/>
    <w:rsid w:val="002957B1"/>
    <w:rsid w:val="002A016A"/>
    <w:rsid w:val="002A0C4F"/>
    <w:rsid w:val="002A1515"/>
    <w:rsid w:val="002A1520"/>
    <w:rsid w:val="002A3C51"/>
    <w:rsid w:val="002A566A"/>
    <w:rsid w:val="002A5D8E"/>
    <w:rsid w:val="002A5E6A"/>
    <w:rsid w:val="002B22EE"/>
    <w:rsid w:val="002B3739"/>
    <w:rsid w:val="002B4182"/>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4186"/>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5DDA"/>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5C2A"/>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104"/>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23E"/>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F6B"/>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1441"/>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D4F"/>
    <w:rsid w:val="00A72DEA"/>
    <w:rsid w:val="00A73415"/>
    <w:rsid w:val="00A73A42"/>
    <w:rsid w:val="00A74F64"/>
    <w:rsid w:val="00A7532D"/>
    <w:rsid w:val="00A763B9"/>
    <w:rsid w:val="00A763E4"/>
    <w:rsid w:val="00A77A08"/>
    <w:rsid w:val="00A80D4E"/>
    <w:rsid w:val="00A824CE"/>
    <w:rsid w:val="00A8310F"/>
    <w:rsid w:val="00A8385D"/>
    <w:rsid w:val="00A83ACE"/>
    <w:rsid w:val="00A83E8B"/>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10B7"/>
    <w:rsid w:val="00E532DB"/>
    <w:rsid w:val="00E5376A"/>
    <w:rsid w:val="00E55D94"/>
    <w:rsid w:val="00E564A7"/>
    <w:rsid w:val="00E617B6"/>
    <w:rsid w:val="00E627A7"/>
    <w:rsid w:val="00E62936"/>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7217</Words>
  <Characters>41141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48262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2</cp:revision>
  <cp:lastPrinted>2020-04-14T11:39:00Z</cp:lastPrinted>
  <dcterms:created xsi:type="dcterms:W3CDTF">2022-12-06T12:09:00Z</dcterms:created>
  <dcterms:modified xsi:type="dcterms:W3CDTF">2022-12-06T12:09:00Z</dcterms:modified>
</cp:coreProperties>
</file>