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6BEF" w14:textId="77777777" w:rsidR="007E7829" w:rsidRPr="001F1C67" w:rsidRDefault="003D7CE7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PUDRAT</w:t>
      </w:r>
      <w:r w:rsidR="007E7829" w:rsidRPr="001F1C6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S</w:t>
      </w:r>
      <w:r w:rsidR="00321F69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ARTNOMASI</w:t>
      </w:r>
      <w:r w:rsidR="007E7829" w:rsidRPr="001F1C67">
        <w:rPr>
          <w:b/>
          <w:sz w:val="28"/>
          <w:szCs w:val="28"/>
          <w:lang w:val="en-US"/>
        </w:rPr>
        <w:t xml:space="preserve"> №</w:t>
      </w:r>
    </w:p>
    <w:p w14:paraId="2C9572E3" w14:textId="77777777"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14:paraId="7C6537BE" w14:textId="77777777" w:rsidR="007E7829" w:rsidRPr="001F1C67" w:rsidRDefault="003D7CE7" w:rsidP="001F1C67">
      <w:pPr>
        <w:spacing w:line="276" w:lineRule="auto"/>
        <w:outlineLvl w:val="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Qo‘rg‘ontepa</w:t>
      </w:r>
      <w:r w:rsidR="00F6455B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tuman</w:t>
      </w:r>
      <w:r w:rsidR="007E7829" w:rsidRPr="001F1C67">
        <w:rPr>
          <w:sz w:val="28"/>
          <w:szCs w:val="28"/>
          <w:lang w:val="en-US"/>
        </w:rPr>
        <w:t xml:space="preserve">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yil</w:t>
      </w:r>
      <w:r w:rsidR="007E7829" w:rsidRPr="001F1C67">
        <w:rPr>
          <w:sz w:val="28"/>
          <w:szCs w:val="28"/>
          <w:lang w:val="en-US"/>
        </w:rPr>
        <w:t xml:space="preserve"> </w:t>
      </w:r>
    </w:p>
    <w:p w14:paraId="52186697" w14:textId="77777777"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14:paraId="0D247E5C" w14:textId="77777777" w:rsidR="00FA45F6" w:rsidRDefault="003D7CE7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120EB3">
        <w:rPr>
          <w:sz w:val="28"/>
          <w:szCs w:val="28"/>
          <w:lang w:val="uz-Cyrl-UZ"/>
        </w:rPr>
        <w:t>Qorasuv</w:t>
      </w:r>
      <w:r w:rsidR="00064C2C">
        <w:rPr>
          <w:sz w:val="28"/>
          <w:szCs w:val="28"/>
          <w:lang w:val="uz-Cyrl-UZ"/>
        </w:rPr>
        <w:t xml:space="preserve"> </w:t>
      </w:r>
      <w:proofErr w:type="gramStart"/>
      <w:r w:rsidR="00120EB3">
        <w:rPr>
          <w:sz w:val="28"/>
          <w:szCs w:val="28"/>
          <w:lang w:val="uz-Cyrl-UZ"/>
        </w:rPr>
        <w:t>shaxar</w:t>
      </w:r>
      <w:r w:rsidR="00064C2C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Tibbiyot</w:t>
      </w:r>
      <w:proofErr w:type="spellEnd"/>
      <w:proofErr w:type="gram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birlashmasi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nomidan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nizom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raxbari</w:t>
      </w:r>
      <w:r w:rsidR="007E7829" w:rsidRPr="001F1C67">
        <w:rPr>
          <w:sz w:val="28"/>
          <w:szCs w:val="28"/>
          <w:lang w:val="uz-Cyrl-UZ"/>
        </w:rPr>
        <w:t xml:space="preserve"> </w:t>
      </w:r>
      <w:r w:rsidR="00120EB3">
        <w:rPr>
          <w:sz w:val="28"/>
          <w:szCs w:val="28"/>
          <w:lang w:val="uz-Cyrl-UZ"/>
        </w:rPr>
        <w:t>U</w:t>
      </w:r>
      <w:r w:rsidR="00064C2C">
        <w:rPr>
          <w:sz w:val="28"/>
          <w:szCs w:val="28"/>
          <w:lang w:val="uz-Cyrl-UZ"/>
        </w:rPr>
        <w:t xml:space="preserve"> </w:t>
      </w:r>
      <w:r w:rsidR="00120EB3">
        <w:rPr>
          <w:sz w:val="28"/>
          <w:szCs w:val="28"/>
          <w:lang w:val="uz-Cyrl-UZ"/>
        </w:rPr>
        <w:t>Urinboev</w:t>
      </w:r>
      <w:r w:rsidR="00064C2C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bir</w:t>
      </w:r>
      <w:r w:rsidR="007E7829" w:rsidRPr="001F1C6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Nizom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olib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rahbari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binoni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mukammal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r w:rsidR="007E7829" w:rsidRPr="001F1C67">
        <w:rPr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mirlash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ishlariga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tuzdilar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xaqida</w:t>
      </w:r>
      <w:proofErr w:type="spellEnd"/>
      <w:r w:rsidR="007E7829" w:rsidRPr="001F1C67">
        <w:rPr>
          <w:sz w:val="28"/>
          <w:szCs w:val="28"/>
          <w:lang w:val="en-US"/>
        </w:rPr>
        <w:t>:</w:t>
      </w:r>
    </w:p>
    <w:p w14:paraId="4C10382F" w14:textId="77777777"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14:paraId="254835B9" w14:textId="77777777" w:rsidR="007E7829" w:rsidRPr="001F1C67" w:rsidRDefault="003D7CE7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14:paraId="5E41BB18" w14:textId="77777777"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14:paraId="1AB36D19" w14:textId="77777777"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="003D7CE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="003D7CE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="003D7CE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mukammal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ta</w:t>
      </w:r>
      <w:r w:rsidRPr="001F1C67">
        <w:rPr>
          <w:sz w:val="28"/>
          <w:szCs w:val="28"/>
          <w:lang w:val="en-US"/>
        </w:rPr>
        <w:t>'</w:t>
      </w:r>
      <w:r w:rsidR="003D7CE7">
        <w:rPr>
          <w:sz w:val="28"/>
          <w:szCs w:val="28"/>
          <w:lang w:val="en-US"/>
        </w:rPr>
        <w:t>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706D28B4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14:paraId="26BF6C51" w14:textId="77777777" w:rsidR="007E7829" w:rsidRPr="003D7CE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3D7CE7">
        <w:rPr>
          <w:b/>
          <w:sz w:val="28"/>
          <w:szCs w:val="28"/>
          <w:lang w:val="en-US"/>
        </w:rPr>
        <w:t>2.</w:t>
      </w:r>
      <w:r w:rsidR="007E7829"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Shartnomaning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b/>
          <w:sz w:val="28"/>
          <w:szCs w:val="28"/>
          <w:lang w:val="en-US"/>
        </w:rPr>
        <w:t>bahosi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r w:rsidR="007A584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hisob</w:t>
      </w:r>
      <w:r w:rsidR="00FD51D1" w:rsidRPr="003D7CE7">
        <w:rPr>
          <w:b/>
          <w:sz w:val="28"/>
          <w:szCs w:val="28"/>
          <w:lang w:val="en-US"/>
        </w:rPr>
        <w:t>-</w:t>
      </w:r>
      <w:r w:rsidR="003D7CE7" w:rsidRPr="003D7CE7">
        <w:rPr>
          <w:b/>
          <w:sz w:val="28"/>
          <w:szCs w:val="28"/>
          <w:lang w:val="en-US"/>
        </w:rPr>
        <w:t>kitob</w:t>
      </w:r>
      <w:proofErr w:type="spellEnd"/>
      <w:r w:rsidR="00FD51D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tartibi</w:t>
      </w:r>
      <w:proofErr w:type="spellEnd"/>
    </w:p>
    <w:p w14:paraId="18AB1AB2" w14:textId="77777777" w:rsidR="007E7829" w:rsidRPr="003D7CE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14:paraId="772BEC23" w14:textId="6D4D8ED9" w:rsidR="007E7829" w:rsidRPr="003D7CE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3D7CE7">
        <w:rPr>
          <w:sz w:val="28"/>
          <w:szCs w:val="28"/>
          <w:lang w:val="en-US"/>
        </w:rPr>
        <w:t xml:space="preserve">  2.1. </w:t>
      </w:r>
      <w:proofErr w:type="spellStart"/>
      <w:r w:rsidR="003D7CE7" w:rsidRPr="003D7CE7">
        <w:rPr>
          <w:sz w:val="28"/>
          <w:szCs w:val="28"/>
          <w:lang w:val="en-US"/>
        </w:rPr>
        <w:t>Bajarilishi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lozim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sz w:val="28"/>
          <w:szCs w:val="28"/>
          <w:lang w:val="en-US"/>
        </w:rPr>
        <w:t>bo‘</w:t>
      </w:r>
      <w:proofErr w:type="gramEnd"/>
      <w:r w:rsidR="003D7CE7" w:rsidRPr="003D7CE7">
        <w:rPr>
          <w:sz w:val="28"/>
          <w:szCs w:val="28"/>
          <w:lang w:val="en-US"/>
        </w:rPr>
        <w:t>lgan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</w:t>
      </w:r>
      <w:proofErr w:type="spellEnd"/>
      <w:r w:rsidRPr="003D7CE7">
        <w:rPr>
          <w:sz w:val="28"/>
          <w:szCs w:val="28"/>
          <w:lang w:val="en-US"/>
        </w:rPr>
        <w:t xml:space="preserve">  «</w:t>
      </w:r>
      <w:proofErr w:type="spellStart"/>
      <w:r w:rsidR="003D7CE7" w:rsidRPr="003D7CE7">
        <w:rPr>
          <w:sz w:val="28"/>
          <w:szCs w:val="28"/>
          <w:lang w:val="en-US"/>
        </w:rPr>
        <w:t>Buyurtmachi</w:t>
      </w:r>
      <w:proofErr w:type="spellEnd"/>
      <w:r w:rsidRPr="003D7CE7">
        <w:rPr>
          <w:sz w:val="28"/>
          <w:szCs w:val="28"/>
          <w:lang w:val="en-US"/>
        </w:rPr>
        <w:t xml:space="preserve">» </w:t>
      </w:r>
      <w:proofErr w:type="spellStart"/>
      <w:r w:rsidR="003D7CE7" w:rsidRPr="003D7CE7">
        <w:rPr>
          <w:sz w:val="28"/>
          <w:szCs w:val="28"/>
          <w:lang w:val="en-US"/>
        </w:rPr>
        <w:t>tomonidan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tasdiqlangan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loyixa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smeta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asosida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to‘liq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bajaradi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va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pudrat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ishlarining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umumiy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qiymati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C07E86" w:rsidRPr="00C07E86">
        <w:rPr>
          <w:sz w:val="28"/>
          <w:szCs w:val="28"/>
          <w:lang w:val="en-US"/>
        </w:rPr>
        <w:t>411449569.06</w:t>
      </w:r>
      <w:r w:rsidRPr="003D7CE7">
        <w:rPr>
          <w:sz w:val="28"/>
          <w:szCs w:val="28"/>
          <w:lang w:val="en-US"/>
        </w:rPr>
        <w:t xml:space="preserve"> (</w:t>
      </w:r>
      <w:r w:rsidR="00B736CD" w:rsidRPr="003D7CE7">
        <w:rPr>
          <w:sz w:val="28"/>
          <w:szCs w:val="28"/>
          <w:lang w:val="en-US"/>
        </w:rPr>
        <w:t>_______________________</w:t>
      </w:r>
      <w:r w:rsidR="007A5841" w:rsidRPr="003D7CE7">
        <w:rPr>
          <w:sz w:val="28"/>
          <w:szCs w:val="28"/>
          <w:lang w:val="en-US"/>
        </w:rPr>
        <w:t xml:space="preserve">) </w:t>
      </w:r>
      <w:proofErr w:type="spellStart"/>
      <w:r w:rsidR="003D7CE7" w:rsidRPr="003D7CE7">
        <w:rPr>
          <w:sz w:val="28"/>
          <w:szCs w:val="28"/>
          <w:lang w:val="en-US"/>
        </w:rPr>
        <w:t>so‘mni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tashkil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etib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ta</w:t>
      </w:r>
      <w:r w:rsidRPr="003D7CE7">
        <w:rPr>
          <w:sz w:val="28"/>
          <w:szCs w:val="28"/>
          <w:lang w:val="en-US"/>
        </w:rPr>
        <w:t>'</w:t>
      </w:r>
      <w:r w:rsidR="003D7CE7" w:rsidRPr="003D7CE7">
        <w:rPr>
          <w:sz w:val="28"/>
          <w:szCs w:val="28"/>
          <w:lang w:val="en-US"/>
        </w:rPr>
        <w:t>mirlash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sz w:val="28"/>
          <w:szCs w:val="28"/>
          <w:lang w:val="en-US"/>
        </w:rPr>
        <w:t>______</w:t>
      </w:r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kun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mobaynida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sifatli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qilib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beradi</w:t>
      </w:r>
      <w:proofErr w:type="spellEnd"/>
      <w:r w:rsidRPr="003D7CE7">
        <w:rPr>
          <w:sz w:val="28"/>
          <w:szCs w:val="28"/>
          <w:lang w:val="en-US"/>
        </w:rPr>
        <w:t>.</w:t>
      </w:r>
    </w:p>
    <w:p w14:paraId="6B0EF3DF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uzil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kesil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faqatgina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ajmi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o‘zgartirilganidan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fors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major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1F1C67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sabab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qayta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qo‘shimcha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bitim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rasmiylashtiriladi</w:t>
      </w:r>
      <w:r w:rsidRPr="001F1C67">
        <w:rPr>
          <w:sz w:val="28"/>
          <w:szCs w:val="28"/>
          <w:lang w:val="uz-Cyrl-UZ"/>
        </w:rPr>
        <w:t>.</w:t>
      </w:r>
    </w:p>
    <w:p w14:paraId="37AEA746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</w:t>
      </w:r>
      <w:r w:rsidR="003D7CE7">
        <w:rPr>
          <w:sz w:val="28"/>
          <w:szCs w:val="28"/>
          <w:lang w:val="uz-Cyrl-UZ"/>
        </w:rPr>
        <w:t>Shartnoma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tegishli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</w:t>
      </w:r>
      <w:r w:rsidR="003D7CE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1F1C67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bank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qiymatining</w:t>
      </w:r>
      <w:r w:rsidRPr="001F1C67">
        <w:rPr>
          <w:sz w:val="28"/>
          <w:szCs w:val="28"/>
          <w:lang w:val="uz-Cyrl-UZ"/>
        </w:rPr>
        <w:t xml:space="preserve"> 30 </w:t>
      </w:r>
      <w:r w:rsidR="003D7CE7">
        <w:rPr>
          <w:sz w:val="28"/>
          <w:szCs w:val="28"/>
          <w:lang w:val="uz-Cyrl-UZ"/>
        </w:rPr>
        <w:t>foizini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so‘mni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oldindan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tariqasida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raqamiga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42540C9C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qolgan</w:t>
      </w:r>
      <w:r w:rsidRPr="001F1C67">
        <w:rPr>
          <w:sz w:val="28"/>
          <w:szCs w:val="28"/>
          <w:lang w:val="uz-Cyrl-UZ"/>
        </w:rPr>
        <w:t xml:space="preserve"> 70 </w:t>
      </w:r>
      <w:r w:rsidR="003D7CE7">
        <w:rPr>
          <w:sz w:val="28"/>
          <w:szCs w:val="28"/>
          <w:lang w:val="uz-Cyrl-UZ"/>
        </w:rPr>
        <w:t>foizi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ya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so‘mini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( 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-3 )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2D7490E5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2.5.«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oxirgi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qabul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1F1C67">
        <w:rPr>
          <w:sz w:val="28"/>
          <w:szCs w:val="28"/>
          <w:lang w:val="uz-Cyrl-UZ"/>
        </w:rPr>
        <w:t xml:space="preserve"> – </w:t>
      </w:r>
      <w:r w:rsidR="003D7CE7">
        <w:rPr>
          <w:sz w:val="28"/>
          <w:szCs w:val="28"/>
          <w:lang w:val="uz-Cyrl-UZ"/>
        </w:rPr>
        <w:t>topshirish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 (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-3)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qiymatlari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to‘g‘risidagi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lumotnomalar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6BE75AF5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oshiriladi</w:t>
      </w:r>
      <w:r w:rsidRPr="001F1C67">
        <w:rPr>
          <w:sz w:val="28"/>
          <w:szCs w:val="28"/>
          <w:lang w:val="uz-Cyrl-UZ"/>
        </w:rPr>
        <w:t xml:space="preserve">. </w:t>
      </w:r>
    </w:p>
    <w:p w14:paraId="25996AEE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lastRenderedPageBreak/>
        <w:t xml:space="preserve">3.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huquq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majburiyatlari</w:t>
      </w:r>
      <w:r w:rsidRPr="00F6455B">
        <w:rPr>
          <w:b/>
          <w:sz w:val="28"/>
          <w:szCs w:val="28"/>
          <w:lang w:val="uz-Cyrl-UZ"/>
        </w:rPr>
        <w:t>.</w:t>
      </w:r>
    </w:p>
    <w:p w14:paraId="09A8051B" w14:textId="77777777" w:rsidR="007E7829" w:rsidRPr="00F6455B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</w:p>
    <w:p w14:paraId="0DD88BB8" w14:textId="77777777" w:rsidR="007E7829" w:rsidRPr="00F6455B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3.1.«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</w:p>
    <w:p w14:paraId="4774BA15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imzolangandan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obektni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dalolatnomaga</w:t>
      </w:r>
      <w:r w:rsidR="007E7829" w:rsidRPr="00F6455B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F</w:t>
      </w:r>
      <w:r w:rsidR="007E7829" w:rsidRPr="00F6455B">
        <w:rPr>
          <w:sz w:val="28"/>
          <w:szCs w:val="28"/>
          <w:lang w:val="uz-Cyrl-UZ"/>
        </w:rPr>
        <w:t xml:space="preserve">-2) </w:t>
      </w:r>
      <w:r>
        <w:rPr>
          <w:sz w:val="28"/>
          <w:szCs w:val="28"/>
          <w:lang w:val="uz-Cyrl-UZ"/>
        </w:rPr>
        <w:t>asosan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boshlab</w:t>
      </w:r>
      <w:r w:rsidR="007E7829" w:rsidRPr="00F6455B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Barcha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hajmda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muddatlarda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o‘zining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kuchlari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xamda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topshiradi</w:t>
      </w:r>
      <w:r w:rsidR="007E7829" w:rsidRPr="00F6455B">
        <w:rPr>
          <w:sz w:val="28"/>
          <w:szCs w:val="28"/>
          <w:lang w:val="uz-Cyrl-UZ"/>
        </w:rPr>
        <w:t xml:space="preserve">.            </w:t>
      </w:r>
    </w:p>
    <w:p w14:paraId="64137FDC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3.2.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uquqlari</w:t>
      </w:r>
    </w:p>
    <w:p w14:paraId="5B1CF8A8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</w:t>
      </w:r>
      <w:r w:rsidR="007E7829" w:rsidRPr="00F6455B">
        <w:rPr>
          <w:sz w:val="28"/>
          <w:szCs w:val="28"/>
          <w:lang w:val="uz-Cyrl-UZ"/>
        </w:rPr>
        <w:t>'</w:t>
      </w:r>
      <w:r>
        <w:rPr>
          <w:sz w:val="28"/>
          <w:szCs w:val="28"/>
          <w:lang w:val="uz-Cyrl-UZ"/>
        </w:rPr>
        <w:t>lanishi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ajmda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Cyrl-UZ"/>
        </w:rPr>
        <w:t>kitob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14:paraId="017C27CA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asossiz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rad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14:paraId="130F334C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3.3.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</w:t>
      </w:r>
    </w:p>
    <w:p w14:paraId="492FA5F4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bo‘yicha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43FE6196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10F294DB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3.4.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huquqlari</w:t>
      </w:r>
      <w:r w:rsidRPr="00F6455B">
        <w:rPr>
          <w:sz w:val="28"/>
          <w:szCs w:val="28"/>
          <w:lang w:val="uz-Cyrl-UZ"/>
        </w:rPr>
        <w:t xml:space="preserve"> </w:t>
      </w:r>
    </w:p>
    <w:p w14:paraId="45455579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amaldagi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davlat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standartlariga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me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yoriy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minlashni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talab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;</w:t>
      </w:r>
    </w:p>
    <w:p w14:paraId="0FECDA7A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bepul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to‘g‘rilanishi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xarajatlarini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0C8633CB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ko‘rsatilgan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kommisiyasi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ishtirokida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sifatli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holda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olish</w:t>
      </w:r>
      <w:r w:rsidRPr="00F6455B">
        <w:rPr>
          <w:sz w:val="28"/>
          <w:szCs w:val="28"/>
          <w:lang w:val="uz-Cyrl-UZ"/>
        </w:rPr>
        <w:t>;</w:t>
      </w:r>
    </w:p>
    <w:p w14:paraId="137DB270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ishlatiladigan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materiallar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asbob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uskunalarni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muvofiqligini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nazorat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:</w:t>
      </w:r>
    </w:p>
    <w:p w14:paraId="5833354C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14:paraId="3F9090CE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4.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javobgarligi</w:t>
      </w:r>
      <w:r w:rsidRPr="00F6455B">
        <w:rPr>
          <w:b/>
          <w:sz w:val="28"/>
          <w:szCs w:val="28"/>
          <w:lang w:val="uz-Cyrl-UZ"/>
        </w:rPr>
        <w:t>.</w:t>
      </w:r>
    </w:p>
    <w:p w14:paraId="281013C4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14:paraId="0BD31362" w14:textId="77777777" w:rsidR="007E7829" w:rsidRPr="00F6455B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O‘zbekiston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Respublikasining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xo‘jalik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yurituvchi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sub</w:t>
      </w:r>
      <w:r>
        <w:rPr>
          <w:b/>
          <w:sz w:val="28"/>
          <w:szCs w:val="28"/>
          <w:lang w:val="uz-Latn-UZ"/>
        </w:rPr>
        <w:t>e</w:t>
      </w:r>
      <w:r>
        <w:rPr>
          <w:b/>
          <w:sz w:val="28"/>
          <w:szCs w:val="28"/>
          <w:lang w:val="uz-Cyrl-UZ"/>
        </w:rPr>
        <w:t>ktlarni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faoliyatni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shartnomaviy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uquqiy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bazasi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ujjatlariga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asosan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belgilanadi</w:t>
      </w:r>
      <w:r w:rsidR="007E7829" w:rsidRPr="00F6455B">
        <w:rPr>
          <w:b/>
          <w:sz w:val="28"/>
          <w:szCs w:val="28"/>
          <w:lang w:val="uz-Cyrl-UZ"/>
        </w:rPr>
        <w:t>.</w:t>
      </w:r>
    </w:p>
    <w:p w14:paraId="3B9B4D86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14:paraId="4FF9ECFD" w14:textId="77777777" w:rsidR="00550AED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4.1.</w:t>
      </w:r>
      <w:r w:rsidR="003D7CE7">
        <w:rPr>
          <w:sz w:val="28"/>
          <w:szCs w:val="28"/>
          <w:lang w:val="uz-Cyrl-UZ"/>
        </w:rPr>
        <w:t>Tomonlardan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;                             </w:t>
      </w:r>
    </w:p>
    <w:p w14:paraId="4205818C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4.2.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ob’ektni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toprishmaganligi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lastRenderedPageBreak/>
        <w:t>qismining</w:t>
      </w:r>
      <w:r w:rsidRPr="00F6455B">
        <w:rPr>
          <w:sz w:val="28"/>
          <w:szCs w:val="28"/>
          <w:lang w:val="uz-Cyrl-UZ"/>
        </w:rPr>
        <w:t xml:space="preserve"> 0.5 </w:t>
      </w:r>
      <w:r w:rsidR="003D7CE7">
        <w:rPr>
          <w:sz w:val="28"/>
          <w:szCs w:val="28"/>
          <w:lang w:val="uz-Cyrl-UZ"/>
        </w:rPr>
        <w:t>foiz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majburiyatlar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bahosining</w:t>
      </w:r>
      <w:r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Pr="00F6455B">
        <w:rPr>
          <w:sz w:val="28"/>
          <w:szCs w:val="28"/>
          <w:lang w:val="uz-Cyrl-UZ"/>
        </w:rPr>
        <w:t>.</w:t>
      </w:r>
    </w:p>
    <w:p w14:paraId="6847B751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>4.3.</w:t>
      </w:r>
      <w:r w:rsidR="003D7CE7">
        <w:rPr>
          <w:sz w:val="28"/>
          <w:szCs w:val="28"/>
          <w:lang w:val="uz-Cyrl-UZ"/>
        </w:rPr>
        <w:t>Aniqlangan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nuqson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kamchiliklar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qilinmasa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to‘lovlar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to‘xtatiladi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Lozim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ishlarning</w:t>
      </w: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 xml:space="preserve">20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jarima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>.</w:t>
      </w:r>
    </w:p>
    <w:p w14:paraId="22508800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>4.4.</w:t>
      </w:r>
      <w:r w:rsidR="003D7CE7"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to‘lanmasa</w:t>
      </w:r>
      <w:r w:rsidR="007E7829" w:rsidRPr="00F6455B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har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summasining</w:t>
      </w:r>
      <w:r w:rsidR="007E7829" w:rsidRPr="00F6455B">
        <w:rPr>
          <w:sz w:val="28"/>
          <w:szCs w:val="28"/>
          <w:lang w:val="uz-Cyrl-UZ"/>
        </w:rPr>
        <w:t xml:space="preserve"> 0.4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jarimaning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="007E7829"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ortmasligi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="007E7829" w:rsidRPr="00F6455B">
        <w:rPr>
          <w:sz w:val="28"/>
          <w:szCs w:val="28"/>
          <w:lang w:val="uz-Cyrl-UZ"/>
        </w:rPr>
        <w:t>.</w:t>
      </w:r>
    </w:p>
    <w:p w14:paraId="067E3F38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 xml:space="preserve">4.5.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buzgan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tarafga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ana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shu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bajarmaslik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oqibatida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qoplash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javobgarligidan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etmaydi</w:t>
      </w:r>
      <w:r w:rsidR="007E7829" w:rsidRPr="00F6455B">
        <w:rPr>
          <w:sz w:val="28"/>
          <w:szCs w:val="28"/>
          <w:lang w:val="uz-Cyrl-UZ"/>
        </w:rPr>
        <w:t>.</w:t>
      </w:r>
    </w:p>
    <w:p w14:paraId="344C0B4E" w14:textId="77777777" w:rsidR="007B6278" w:rsidRPr="00F6455B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                                                </w:t>
      </w:r>
    </w:p>
    <w:p w14:paraId="645A7F82" w14:textId="77777777" w:rsidR="007E7829" w:rsidRPr="00F6455B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5. </w:t>
      </w:r>
      <w:r w:rsidR="003D7CE7">
        <w:rPr>
          <w:b/>
          <w:sz w:val="28"/>
          <w:szCs w:val="28"/>
          <w:lang w:val="uz-Cyrl-UZ"/>
        </w:rPr>
        <w:t>Fors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major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Latn-UZ"/>
        </w:rPr>
        <w:t>h</w:t>
      </w:r>
      <w:r w:rsidR="003D7CE7">
        <w:rPr>
          <w:b/>
          <w:sz w:val="28"/>
          <w:szCs w:val="28"/>
          <w:lang w:val="uz-Cyrl-UZ"/>
        </w:rPr>
        <w:t>olatlar</w:t>
      </w:r>
      <w:r w:rsidRPr="00F6455B">
        <w:rPr>
          <w:b/>
          <w:sz w:val="28"/>
          <w:szCs w:val="28"/>
          <w:lang w:val="uz-Cyrl-UZ"/>
        </w:rPr>
        <w:t>.</w:t>
      </w:r>
    </w:p>
    <w:p w14:paraId="7EDA85B3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14:paraId="20481E50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5.1. </w:t>
      </w:r>
      <w:r w:rsidR="003D7CE7">
        <w:rPr>
          <w:sz w:val="28"/>
          <w:szCs w:val="28"/>
          <w:lang w:val="uz-Cyrl-UZ"/>
        </w:rPr>
        <w:t>Ushbu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tabiat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xodisalari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yengib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bo‘lmaydigan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natijasida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xolatlar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bajarilishiga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bevosita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sir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javobgarlikdan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etilishi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ujjatlarida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chiqiladi</w:t>
      </w:r>
      <w:r w:rsidRPr="00F6455B">
        <w:rPr>
          <w:sz w:val="28"/>
          <w:szCs w:val="28"/>
          <w:lang w:val="uz-Cyrl-UZ"/>
        </w:rPr>
        <w:t>.</w:t>
      </w:r>
    </w:p>
    <w:p w14:paraId="09BFA753" w14:textId="77777777" w:rsidR="00D94E9E" w:rsidRPr="00F6455B" w:rsidRDefault="00D94E9E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14:paraId="1882E0D7" w14:textId="77777777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 xml:space="preserve">6. </w:t>
      </w:r>
      <w:r w:rsidR="003D7CE7">
        <w:rPr>
          <w:b/>
          <w:sz w:val="28"/>
          <w:szCs w:val="28"/>
          <w:lang w:val="uz-Cyrl-UZ"/>
        </w:rPr>
        <w:t>Shartnomani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o‘zgartirish</w:t>
      </w:r>
      <w:r w:rsidRPr="00D176BC">
        <w:rPr>
          <w:b/>
          <w:sz w:val="28"/>
          <w:szCs w:val="28"/>
          <w:lang w:val="uz-Cyrl-UZ"/>
        </w:rPr>
        <w:t xml:space="preserve">, </w:t>
      </w:r>
      <w:r w:rsidR="003D7CE7">
        <w:rPr>
          <w:b/>
          <w:sz w:val="28"/>
          <w:szCs w:val="28"/>
          <w:lang w:val="uz-Cyrl-UZ"/>
        </w:rPr>
        <w:t>bekor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D176BC">
        <w:rPr>
          <w:b/>
          <w:sz w:val="28"/>
          <w:szCs w:val="28"/>
          <w:lang w:val="uz-Cyrl-UZ"/>
        </w:rPr>
        <w:t xml:space="preserve"> </w:t>
      </w:r>
    </w:p>
    <w:p w14:paraId="6FF848BB" w14:textId="77777777" w:rsidR="007E7829" w:rsidRPr="00D176BC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nizolarni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al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</w:t>
      </w:r>
    </w:p>
    <w:p w14:paraId="230B29B8" w14:textId="77777777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14:paraId="7E4C2E03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6.1. 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shaklda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kelishuviga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bekor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>.</w:t>
      </w:r>
    </w:p>
    <w:p w14:paraId="4B8E35CE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6.2.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yuzaga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nizo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kelishmovchiliklar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Agarda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etish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imkoni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bo‘lmasa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Iqtisod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sudi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orqali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>.</w:t>
      </w:r>
    </w:p>
    <w:p w14:paraId="29B2FE79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14:paraId="52D92B3E" w14:textId="77777777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>7.</w:t>
      </w:r>
      <w:r w:rsidR="003D7CE7">
        <w:rPr>
          <w:b/>
          <w:sz w:val="28"/>
          <w:szCs w:val="28"/>
          <w:lang w:val="uz-Cyrl-UZ"/>
        </w:rPr>
        <w:t>Shartnomaning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amal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muddati</w:t>
      </w:r>
    </w:p>
    <w:p w14:paraId="705CC7B5" w14:textId="77777777"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</w:p>
    <w:p w14:paraId="326650F5" w14:textId="77777777" w:rsidR="007E7829" w:rsidRPr="00D176BC" w:rsidRDefault="007E7829" w:rsidP="001F1C67">
      <w:pPr>
        <w:spacing w:line="276" w:lineRule="auto"/>
        <w:ind w:firstLine="180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7.1.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muhri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bilan</w:t>
      </w:r>
      <w:r w:rsidR="003C3EB0"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xududiy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bo‘limidan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kiradi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va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202</w:t>
      </w:r>
      <w:r w:rsidR="007B6278" w:rsidRPr="00D176BC">
        <w:rPr>
          <w:sz w:val="28"/>
          <w:szCs w:val="28"/>
          <w:lang w:val="uz-Cyrl-UZ"/>
        </w:rPr>
        <w:t>2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yil</w:t>
      </w:r>
      <w:r w:rsidRPr="00D176BC">
        <w:rPr>
          <w:sz w:val="28"/>
          <w:szCs w:val="28"/>
          <w:lang w:val="uz-Cyrl-UZ"/>
        </w:rPr>
        <w:t xml:space="preserve"> 31 </w:t>
      </w:r>
      <w:r w:rsidR="003D7CE7">
        <w:rPr>
          <w:sz w:val="28"/>
          <w:szCs w:val="28"/>
          <w:lang w:val="uz-Cyrl-UZ"/>
        </w:rPr>
        <w:t>dekabrgacha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qiladi</w:t>
      </w:r>
      <w:r w:rsidRPr="00D176BC">
        <w:rPr>
          <w:sz w:val="28"/>
          <w:szCs w:val="28"/>
          <w:lang w:val="uz-Cyrl-UZ"/>
        </w:rPr>
        <w:t>.</w:t>
      </w:r>
    </w:p>
    <w:p w14:paraId="1A3C978E" w14:textId="77777777"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7.2.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2 </w:t>
      </w:r>
      <w:r w:rsidR="003D7CE7">
        <w:rPr>
          <w:sz w:val="28"/>
          <w:szCs w:val="28"/>
          <w:lang w:val="uz-Cyrl-UZ"/>
        </w:rPr>
        <w:t>nusxada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tuzilib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ikkala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nusxasi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ham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jihatdan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teng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hisoblanadi</w:t>
      </w:r>
      <w:r w:rsidRPr="00D176BC">
        <w:rPr>
          <w:sz w:val="28"/>
          <w:szCs w:val="28"/>
          <w:lang w:val="uz-Cyrl-UZ"/>
        </w:rPr>
        <w:t>.</w:t>
      </w:r>
    </w:p>
    <w:p w14:paraId="218EE02E" w14:textId="77777777" w:rsidR="001F1C67" w:rsidRPr="00D176BC" w:rsidRDefault="001F1C67" w:rsidP="001F1C67">
      <w:pPr>
        <w:spacing w:line="276" w:lineRule="auto"/>
        <w:rPr>
          <w:b/>
          <w:sz w:val="28"/>
          <w:szCs w:val="28"/>
          <w:lang w:val="uz-Cyrl-UZ"/>
        </w:rPr>
      </w:pPr>
    </w:p>
    <w:p w14:paraId="013B0408" w14:textId="77777777"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 w:rsidRPr="00D176BC">
        <w:rPr>
          <w:b/>
          <w:sz w:val="28"/>
          <w:szCs w:val="28"/>
          <w:lang w:val="uz-Cyrl-UZ"/>
        </w:rPr>
        <w:lastRenderedPageBreak/>
        <w:t xml:space="preserve">                                                  </w:t>
      </w:r>
      <w:r w:rsidR="007E7829" w:rsidRPr="001F1C67">
        <w:rPr>
          <w:b/>
          <w:sz w:val="28"/>
          <w:szCs w:val="28"/>
        </w:rPr>
        <w:t>8.</w:t>
      </w:r>
      <w:r w:rsidR="003D7CE7">
        <w:rPr>
          <w:b/>
          <w:sz w:val="28"/>
          <w:szCs w:val="28"/>
        </w:rPr>
        <w:t>Tomonlarning</w:t>
      </w:r>
      <w:r w:rsidR="00A90E64">
        <w:rPr>
          <w:b/>
          <w:sz w:val="28"/>
          <w:szCs w:val="28"/>
        </w:rPr>
        <w:t xml:space="preserve"> </w:t>
      </w:r>
      <w:proofErr w:type="spellStart"/>
      <w:r w:rsidR="003D7CE7">
        <w:rPr>
          <w:b/>
          <w:sz w:val="28"/>
          <w:szCs w:val="28"/>
        </w:rPr>
        <w:t>rekvizitlari</w:t>
      </w:r>
      <w:proofErr w:type="spellEnd"/>
    </w:p>
    <w:p w14:paraId="501646AD" w14:textId="77777777"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235"/>
        <w:gridCol w:w="299"/>
        <w:gridCol w:w="5277"/>
      </w:tblGrid>
      <w:tr w:rsidR="007E7829" w:rsidRPr="001F1C67" w14:paraId="564E9893" w14:textId="77777777" w:rsidTr="00F6455B">
        <w:tc>
          <w:tcPr>
            <w:tcW w:w="3936" w:type="dxa"/>
          </w:tcPr>
          <w:p w14:paraId="01A2354B" w14:textId="77777777" w:rsidR="007E7829" w:rsidRPr="001F1C67" w:rsidRDefault="007E7829" w:rsidP="00064C2C">
            <w:pPr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14:paraId="46E3200A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1250F667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47099965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14:paraId="7EF52130" w14:textId="77777777" w:rsidTr="00F6455B">
        <w:tc>
          <w:tcPr>
            <w:tcW w:w="3936" w:type="dxa"/>
          </w:tcPr>
          <w:p w14:paraId="204013E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14:paraId="55491A60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7085C650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5715EB6A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3F2E6B" w14:paraId="2502051A" w14:textId="77777777" w:rsidTr="00F6455B">
        <w:tc>
          <w:tcPr>
            <w:tcW w:w="3936" w:type="dxa"/>
          </w:tcPr>
          <w:p w14:paraId="1D072CEB" w14:textId="77777777"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3752FE3A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05EFBC28" w14:textId="77777777"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77" w:type="dxa"/>
          </w:tcPr>
          <w:p w14:paraId="59121023" w14:textId="77777777" w:rsidR="007E7829" w:rsidRPr="001F1C67" w:rsidRDefault="003D7CE7" w:rsidP="00064C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  <w:r w:rsidR="00120EB3">
              <w:rPr>
                <w:sz w:val="28"/>
                <w:szCs w:val="28"/>
                <w:lang w:val="uz-Cyrl-UZ"/>
              </w:rPr>
              <w:t>Qorasuv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120EB3">
              <w:rPr>
                <w:sz w:val="28"/>
                <w:szCs w:val="28"/>
                <w:lang w:val="uz-Cyrl-UZ"/>
              </w:rPr>
              <w:t>shaxar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tibbiyot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birlashmasi</w:t>
            </w:r>
          </w:p>
        </w:tc>
      </w:tr>
      <w:tr w:rsidR="007E7829" w:rsidRPr="003F2E6B" w14:paraId="659E1BD1" w14:textId="77777777" w:rsidTr="00F6455B">
        <w:tc>
          <w:tcPr>
            <w:tcW w:w="3936" w:type="dxa"/>
          </w:tcPr>
          <w:p w14:paraId="598A8FFC" w14:textId="77777777" w:rsidR="007B6278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33C292B6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4A8313A1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2194D438" w14:textId="77777777" w:rsidR="007E7829" w:rsidRPr="001F1C67" w:rsidRDefault="003D7CE7" w:rsidP="00064C2C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r w:rsidR="00120EB3">
              <w:rPr>
                <w:sz w:val="28"/>
                <w:szCs w:val="28"/>
                <w:lang w:val="uz-Cyrl-UZ"/>
              </w:rPr>
              <w:t>Qorasuv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120EB3">
              <w:rPr>
                <w:sz w:val="28"/>
                <w:szCs w:val="28"/>
                <w:lang w:val="uz-Cyrl-UZ"/>
              </w:rPr>
              <w:t>shaxar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120EB3">
              <w:rPr>
                <w:sz w:val="28"/>
                <w:szCs w:val="28"/>
                <w:lang w:val="uz-Cyrl-UZ"/>
              </w:rPr>
              <w:t>Andijon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120EB3">
              <w:rPr>
                <w:sz w:val="28"/>
                <w:szCs w:val="28"/>
                <w:lang w:val="uz-Cyrl-UZ"/>
              </w:rPr>
              <w:t>kucha</w:t>
            </w:r>
            <w:r w:rsidR="00064C2C">
              <w:rPr>
                <w:sz w:val="28"/>
                <w:szCs w:val="28"/>
                <w:lang w:val="uz-Cyrl-UZ"/>
              </w:rPr>
              <w:t xml:space="preserve"> 1 </w:t>
            </w:r>
            <w:r w:rsidR="00120EB3">
              <w:rPr>
                <w:sz w:val="28"/>
                <w:szCs w:val="28"/>
                <w:lang w:val="uz-Cyrl-UZ"/>
              </w:rPr>
              <w:t>uy</w:t>
            </w:r>
          </w:p>
        </w:tc>
      </w:tr>
      <w:tr w:rsidR="007E7829" w:rsidRPr="00F6455B" w14:paraId="362C584F" w14:textId="77777777" w:rsidTr="00F6455B">
        <w:tc>
          <w:tcPr>
            <w:tcW w:w="3936" w:type="dxa"/>
          </w:tcPr>
          <w:p w14:paraId="7D9E18F5" w14:textId="77777777"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nomi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35306EC2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1E15D6C7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46DD6304" w14:textId="77777777" w:rsidR="007E7829" w:rsidRPr="000C1892" w:rsidRDefault="003D7CE7" w:rsidP="00F6455B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ShXR</w:t>
            </w:r>
            <w:proofErr w:type="spellEnd"/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  <w:r w:rsidR="007B6278">
              <w:rPr>
                <w:sz w:val="28"/>
                <w:szCs w:val="28"/>
                <w:lang w:val="uz-Latn-UZ"/>
              </w:rPr>
              <w:t>100022860032</w:t>
            </w:r>
            <w:r w:rsidR="00064C2C">
              <w:rPr>
                <w:sz w:val="28"/>
                <w:szCs w:val="28"/>
                <w:lang w:val="uz-Cyrl-UZ"/>
              </w:rPr>
              <w:t>207073101054002</w:t>
            </w:r>
          </w:p>
        </w:tc>
      </w:tr>
      <w:tr w:rsidR="003C3EB0" w:rsidRPr="00F6455B" w14:paraId="260934A7" w14:textId="77777777" w:rsidTr="00F6455B">
        <w:tc>
          <w:tcPr>
            <w:tcW w:w="3936" w:type="dxa"/>
          </w:tcPr>
          <w:p w14:paraId="5E44AFF4" w14:textId="77777777" w:rsidR="00243718" w:rsidRPr="00F6455B" w:rsidRDefault="003D7CE7" w:rsidP="002437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E7829" w:rsidRPr="00F6455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  <w:p w14:paraId="0C1F1B01" w14:textId="77777777" w:rsidR="007E7829" w:rsidRPr="00F6455B" w:rsidRDefault="007E7829" w:rsidP="00243718">
            <w:pPr>
              <w:tabs>
                <w:tab w:val="left" w:pos="336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dxa"/>
          </w:tcPr>
          <w:p w14:paraId="205BB667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79715A5E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0CA4B6E5" w14:textId="77777777" w:rsidR="007E7829" w:rsidRPr="007B6278" w:rsidRDefault="003D7CE7" w:rsidP="00064C2C">
            <w:pPr>
              <w:rPr>
                <w:lang w:val="uz-Cyrl-UZ"/>
              </w:rPr>
            </w:pPr>
            <w:r>
              <w:rPr>
                <w:lang w:val="en-US"/>
              </w:rPr>
              <w:t>STIR</w:t>
            </w:r>
            <w:r w:rsidR="007E7829" w:rsidRPr="00F645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INN</w:t>
            </w:r>
            <w:r w:rsidR="007E7829" w:rsidRPr="00F6455B">
              <w:rPr>
                <w:lang w:val="en-US"/>
              </w:rPr>
              <w:t>):</w:t>
            </w:r>
            <w:r w:rsidR="00064C2C">
              <w:rPr>
                <w:lang w:val="uz-Cyrl-UZ"/>
              </w:rPr>
              <w:t xml:space="preserve">200252702 </w:t>
            </w:r>
          </w:p>
        </w:tc>
      </w:tr>
      <w:tr w:rsidR="007E7829" w:rsidRPr="00F6455B" w14:paraId="792D8003" w14:textId="77777777" w:rsidTr="00F6455B">
        <w:tc>
          <w:tcPr>
            <w:tcW w:w="3936" w:type="dxa"/>
          </w:tcPr>
          <w:p w14:paraId="4A35ACC1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MFO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083149E6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65ECB19A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446651DD" w14:textId="77777777" w:rsidR="007E7829" w:rsidRPr="00CD3F04" w:rsidRDefault="003D7CE7" w:rsidP="00A90E64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XXTK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OKONX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): </w:t>
            </w:r>
            <w:r w:rsidR="007E7829"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14:paraId="245F5ADC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</w:tr>
      <w:tr w:rsidR="007E7829" w:rsidRPr="003F2E6B" w14:paraId="66D31335" w14:textId="77777777" w:rsidTr="00F6455B">
        <w:tc>
          <w:tcPr>
            <w:tcW w:w="3936" w:type="dxa"/>
          </w:tcPr>
          <w:p w14:paraId="6194E7FA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TIR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INN</w:t>
            </w:r>
            <w:r w:rsidR="007E7829" w:rsidRPr="001F1C67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235" w:type="dxa"/>
          </w:tcPr>
          <w:p w14:paraId="28944973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5BD27C45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34F64573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O‘zbekiston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Moliya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G‘aznachiligi</w:t>
            </w:r>
          </w:p>
        </w:tc>
      </w:tr>
      <w:tr w:rsidR="007E7829" w:rsidRPr="001F1C67" w14:paraId="3D210C83" w14:textId="77777777" w:rsidTr="00F6455B">
        <w:tc>
          <w:tcPr>
            <w:tcW w:w="3936" w:type="dxa"/>
          </w:tcPr>
          <w:p w14:paraId="4A94CE91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XXTK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>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14:paraId="49C5633F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347D482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4546831F" w14:textId="3F45043B" w:rsidR="007E7829" w:rsidRPr="001F1C67" w:rsidRDefault="003D7CE7" w:rsidP="00A9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7E7829" w:rsidRPr="001F1C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R</w:t>
            </w:r>
            <w:r w:rsidR="007E7829" w:rsidRPr="001F1C67">
              <w:rPr>
                <w:sz w:val="28"/>
                <w:szCs w:val="28"/>
                <w:lang w:val="uz-Cyrl-UZ"/>
              </w:rPr>
              <w:t>:</w:t>
            </w:r>
            <w:r w:rsidR="003F2E6B">
              <w:t xml:space="preserve"> </w:t>
            </w:r>
            <w:r w:rsidR="003F2E6B" w:rsidRPr="003F2E6B">
              <w:rPr>
                <w:sz w:val="28"/>
                <w:szCs w:val="28"/>
              </w:rPr>
              <w:t>401722860032207072110054001</w:t>
            </w:r>
          </w:p>
        </w:tc>
      </w:tr>
      <w:tr w:rsidR="007E7829" w:rsidRPr="001F1C67" w14:paraId="03D66A3E" w14:textId="77777777" w:rsidTr="00F6455B">
        <w:tc>
          <w:tcPr>
            <w:tcW w:w="3936" w:type="dxa"/>
          </w:tcPr>
          <w:p w14:paraId="37E9C5AC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  <w:p w14:paraId="1E512749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2A5CE028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481020B1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14:paraId="2DC30F0D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2F253D04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42A28D62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 w:rsidRPr="003D7CE7">
              <w:rPr>
                <w:sz w:val="28"/>
                <w:szCs w:val="28"/>
                <w:lang w:val="en-US"/>
              </w:rPr>
              <w:t>INN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:201122919 </w:t>
            </w:r>
            <w:r w:rsidRPr="003D7CE7">
              <w:rPr>
                <w:sz w:val="28"/>
                <w:szCs w:val="28"/>
                <w:lang w:val="en-US"/>
              </w:rPr>
              <w:t>MFO</w:t>
            </w:r>
            <w:r w:rsidR="007E7829" w:rsidRPr="003D7CE7">
              <w:rPr>
                <w:sz w:val="28"/>
                <w:szCs w:val="28"/>
                <w:lang w:val="en-US"/>
              </w:rPr>
              <w:t>:00014</w:t>
            </w:r>
          </w:p>
          <w:p w14:paraId="7116B4A7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Banki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D7CE7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bank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z-Latn-UZ"/>
              </w:rPr>
              <w:t>QQ</w:t>
            </w:r>
            <w:r w:rsidRPr="003D7CE7">
              <w:rPr>
                <w:sz w:val="28"/>
                <w:szCs w:val="28"/>
                <w:lang w:val="en-US"/>
              </w:rPr>
              <w:t>M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</w:p>
          <w:p w14:paraId="0F1D5286" w14:textId="77777777" w:rsidR="007E7829" w:rsidRPr="003D7CE7" w:rsidRDefault="007E7829" w:rsidP="00A90E64">
            <w:pPr>
              <w:rPr>
                <w:sz w:val="28"/>
                <w:szCs w:val="28"/>
                <w:lang w:val="en-US"/>
              </w:rPr>
            </w:pPr>
          </w:p>
          <w:p w14:paraId="72F388DD" w14:textId="77777777" w:rsidR="007E7829" w:rsidRPr="001F1C67" w:rsidRDefault="003D7CE7" w:rsidP="00064C2C">
            <w:pPr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_____________ </w:t>
            </w:r>
            <w:r w:rsidR="00120EB3">
              <w:rPr>
                <w:sz w:val="28"/>
                <w:szCs w:val="28"/>
                <w:lang w:val="uz-Cyrl-UZ"/>
              </w:rPr>
              <w:t>U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  <w:r w:rsidR="00120EB3">
              <w:rPr>
                <w:sz w:val="28"/>
                <w:szCs w:val="28"/>
                <w:lang w:val="uz-Cyrl-UZ"/>
              </w:rPr>
              <w:t>Urinboev</w:t>
            </w:r>
            <w:r w:rsidR="00064C2C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</w:tbl>
    <w:p w14:paraId="53B68BFD" w14:textId="77777777"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14:paraId="1D253CFB" w14:textId="77777777" w:rsidR="007E7829" w:rsidRPr="001F1C67" w:rsidRDefault="003D7CE7" w:rsidP="001F1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 xml:space="preserve">'.                                                                                      </w:t>
      </w: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>'.</w:t>
      </w:r>
    </w:p>
    <w:p w14:paraId="38A13B61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1C6FDC0C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0A5969BE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14:paraId="233A460A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14:paraId="0D9DA0F6" w14:textId="77777777"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F64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A"/>
    <w:rsid w:val="00026241"/>
    <w:rsid w:val="00045828"/>
    <w:rsid w:val="00064C2C"/>
    <w:rsid w:val="000C1892"/>
    <w:rsid w:val="00120EB3"/>
    <w:rsid w:val="0013718C"/>
    <w:rsid w:val="001A7724"/>
    <w:rsid w:val="001F1C67"/>
    <w:rsid w:val="00243718"/>
    <w:rsid w:val="00321F69"/>
    <w:rsid w:val="00373616"/>
    <w:rsid w:val="003A3D80"/>
    <w:rsid w:val="003C3EB0"/>
    <w:rsid w:val="003D7CE7"/>
    <w:rsid w:val="003F2E6B"/>
    <w:rsid w:val="00432B12"/>
    <w:rsid w:val="004708F2"/>
    <w:rsid w:val="00550AED"/>
    <w:rsid w:val="00610327"/>
    <w:rsid w:val="006A7DAA"/>
    <w:rsid w:val="0079708A"/>
    <w:rsid w:val="007A5841"/>
    <w:rsid w:val="007B6278"/>
    <w:rsid w:val="007E7829"/>
    <w:rsid w:val="008037B9"/>
    <w:rsid w:val="00810ADB"/>
    <w:rsid w:val="00945123"/>
    <w:rsid w:val="00987FE4"/>
    <w:rsid w:val="00A90E64"/>
    <w:rsid w:val="00B736CD"/>
    <w:rsid w:val="00BE5BDC"/>
    <w:rsid w:val="00C07E86"/>
    <w:rsid w:val="00CC2CB8"/>
    <w:rsid w:val="00CD3F04"/>
    <w:rsid w:val="00CF1D2A"/>
    <w:rsid w:val="00D176BC"/>
    <w:rsid w:val="00D94E9E"/>
    <w:rsid w:val="00E25F52"/>
    <w:rsid w:val="00E5481A"/>
    <w:rsid w:val="00E93B74"/>
    <w:rsid w:val="00F207E4"/>
    <w:rsid w:val="00F6455B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E414"/>
  <w15:docId w15:val="{BC17982C-6C4A-482A-BC91-C6B3BAAF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smu</cp:lastModifiedBy>
  <cp:revision>3</cp:revision>
  <dcterms:created xsi:type="dcterms:W3CDTF">2022-12-06T06:31:00Z</dcterms:created>
  <dcterms:modified xsi:type="dcterms:W3CDTF">2022-12-06T06:35:00Z</dcterms:modified>
</cp:coreProperties>
</file>