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85" w:rsidRDefault="00A64A15" w:rsidP="004A6C85">
      <w:pPr>
        <w:jc w:val="center"/>
        <w:rPr>
          <w:b/>
          <w:bCs/>
          <w:color w:val="000000"/>
          <w:sz w:val="28"/>
          <w:szCs w:val="28"/>
          <w:lang w:val="uz-Cyrl-UZ"/>
        </w:rPr>
      </w:pPr>
      <w:r>
        <w:rPr>
          <w:b/>
          <w:bCs/>
          <w:color w:val="000000"/>
          <w:sz w:val="28"/>
          <w:szCs w:val="28"/>
        </w:rPr>
        <w:t>S</w:t>
      </w:r>
      <w:r>
        <w:rPr>
          <w:b/>
          <w:bCs/>
          <w:color w:val="000000"/>
          <w:sz w:val="28"/>
          <w:szCs w:val="28"/>
          <w:lang w:val="en-US"/>
        </w:rPr>
        <w:t>H</w:t>
      </w:r>
      <w:r>
        <w:rPr>
          <w:b/>
          <w:bCs/>
          <w:color w:val="000000"/>
          <w:sz w:val="28"/>
          <w:szCs w:val="28"/>
        </w:rPr>
        <w:t>ARTNOMA</w:t>
      </w:r>
      <w:r w:rsidR="004A6C85">
        <w:rPr>
          <w:b/>
          <w:bCs/>
          <w:color w:val="000000"/>
          <w:sz w:val="28"/>
          <w:szCs w:val="28"/>
          <w:lang w:val="uz-Cyrl-UZ"/>
        </w:rPr>
        <w:t xml:space="preserve"> </w:t>
      </w:r>
    </w:p>
    <w:p w:rsidR="00E74044" w:rsidRDefault="00E74044" w:rsidP="003426C9">
      <w:pPr>
        <w:tabs>
          <w:tab w:val="left" w:pos="7890"/>
        </w:tabs>
        <w:rPr>
          <w:bCs/>
          <w:color w:val="000000"/>
          <w:sz w:val="20"/>
          <w:szCs w:val="20"/>
          <w:lang w:val="uz-Cyrl-UZ"/>
        </w:rPr>
      </w:pPr>
    </w:p>
    <w:p w:rsidR="003426C9" w:rsidRPr="003426C9" w:rsidRDefault="00E74044" w:rsidP="003426C9">
      <w:pPr>
        <w:tabs>
          <w:tab w:val="left" w:pos="7890"/>
        </w:tabs>
        <w:rPr>
          <w:sz w:val="20"/>
          <w:szCs w:val="20"/>
          <w:lang w:val="en-US"/>
        </w:rPr>
      </w:pPr>
      <w:r>
        <w:rPr>
          <w:bCs/>
          <w:color w:val="000000"/>
          <w:sz w:val="20"/>
          <w:szCs w:val="20"/>
          <w:lang w:val="uz-Cyrl-UZ"/>
        </w:rPr>
        <w:t xml:space="preserve">      </w:t>
      </w:r>
      <w:r w:rsidR="003426C9" w:rsidRPr="003426C9">
        <w:rPr>
          <w:bCs/>
          <w:color w:val="000000"/>
          <w:sz w:val="20"/>
          <w:szCs w:val="20"/>
          <w:lang w:val="uz-Cyrl-UZ"/>
        </w:rPr>
        <w:t xml:space="preserve">“___” </w:t>
      </w:r>
      <w:r w:rsidR="0094072D">
        <w:rPr>
          <w:bCs/>
          <w:color w:val="000000"/>
          <w:sz w:val="20"/>
          <w:szCs w:val="20"/>
          <w:lang w:val="uz-Cyrl-UZ"/>
        </w:rPr>
        <w:t>__________</w:t>
      </w:r>
      <w:r w:rsidR="003426C9" w:rsidRPr="003426C9">
        <w:rPr>
          <w:bCs/>
          <w:color w:val="000000"/>
          <w:sz w:val="20"/>
          <w:szCs w:val="20"/>
          <w:lang w:val="uz-Cyrl-UZ"/>
        </w:rPr>
        <w:t xml:space="preserve"> 2022</w:t>
      </w:r>
      <w:r w:rsidR="00A64A15">
        <w:rPr>
          <w:bCs/>
          <w:color w:val="000000"/>
          <w:sz w:val="20"/>
          <w:szCs w:val="20"/>
          <w:lang w:val="uz-Cyrl-UZ"/>
        </w:rPr>
        <w:t>y</w:t>
      </w:r>
      <w:r w:rsidR="003426C9" w:rsidRPr="003426C9">
        <w:rPr>
          <w:bCs/>
          <w:color w:val="000000"/>
          <w:sz w:val="20"/>
          <w:szCs w:val="20"/>
          <w:lang w:val="uz-Cyrl-UZ"/>
        </w:rPr>
        <w:tab/>
      </w:r>
      <w:r>
        <w:rPr>
          <w:bCs/>
          <w:color w:val="000000"/>
          <w:sz w:val="20"/>
          <w:szCs w:val="20"/>
          <w:lang w:val="uz-Cyrl-UZ"/>
        </w:rPr>
        <w:t xml:space="preserve">        </w:t>
      </w:r>
      <w:r w:rsidR="00E70D04">
        <w:rPr>
          <w:bCs/>
          <w:color w:val="000000"/>
          <w:sz w:val="20"/>
          <w:szCs w:val="20"/>
          <w:lang w:val="uz-Cyrl-UZ"/>
        </w:rPr>
        <w:t xml:space="preserve">    </w:t>
      </w:r>
      <w:r w:rsidR="00F60167" w:rsidRPr="00F60167">
        <w:rPr>
          <w:bCs/>
          <w:color w:val="000000"/>
          <w:sz w:val="20"/>
          <w:szCs w:val="20"/>
          <w:lang w:val="uz-Cyrl-UZ"/>
        </w:rPr>
        <w:t>Yangiqo'rg'on</w:t>
      </w:r>
      <w:r w:rsidR="00E70D04">
        <w:rPr>
          <w:bCs/>
          <w:color w:val="000000"/>
          <w:sz w:val="20"/>
          <w:szCs w:val="20"/>
          <w:lang w:val="uz-Cyrl-UZ"/>
        </w:rPr>
        <w:t xml:space="preserve"> </w:t>
      </w:r>
      <w:r w:rsidR="003426C9" w:rsidRPr="003426C9">
        <w:rPr>
          <w:bCs/>
          <w:color w:val="000000"/>
          <w:sz w:val="20"/>
          <w:szCs w:val="20"/>
          <w:lang w:val="uz-Cyrl-UZ"/>
        </w:rPr>
        <w:t xml:space="preserve"> </w:t>
      </w:r>
      <w:r w:rsidR="00A64A15">
        <w:rPr>
          <w:bCs/>
          <w:color w:val="000000"/>
          <w:sz w:val="20"/>
          <w:szCs w:val="20"/>
          <w:lang w:val="uz-Cyrl-UZ"/>
        </w:rPr>
        <w:t>sh</w:t>
      </w:r>
      <w:r w:rsidR="003426C9" w:rsidRPr="003426C9">
        <w:rPr>
          <w:bCs/>
          <w:color w:val="000000"/>
          <w:sz w:val="20"/>
          <w:szCs w:val="20"/>
          <w:lang w:val="uz-Cyrl-UZ"/>
        </w:rPr>
        <w:t>.</w:t>
      </w:r>
    </w:p>
    <w:p w:rsidR="004A6C85" w:rsidRPr="00C2072D" w:rsidRDefault="004A6C85" w:rsidP="004A6C85">
      <w:pPr>
        <w:jc w:val="center"/>
        <w:rPr>
          <w:b/>
          <w:bCs/>
          <w:color w:val="000000"/>
          <w:sz w:val="2"/>
          <w:szCs w:val="2"/>
        </w:rPr>
      </w:pPr>
      <w:r w:rsidRPr="00C2072D">
        <w:rPr>
          <w:b/>
          <w:bCs/>
          <w:color w:val="000000"/>
          <w:sz w:val="2"/>
          <w:szCs w:val="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2790"/>
        <w:gridCol w:w="3165"/>
      </w:tblGrid>
      <w:tr w:rsidR="004A6C85" w:rsidRPr="00935099" w:rsidTr="003355CE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4A6C85" w:rsidRPr="00935099" w:rsidRDefault="004A6C85" w:rsidP="00016CBC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4A6C85" w:rsidRPr="00935099" w:rsidRDefault="004A6C85" w:rsidP="0088572E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4A6C85" w:rsidRPr="00935099" w:rsidRDefault="004A6C85" w:rsidP="00016CBC">
            <w:pPr>
              <w:jc w:val="right"/>
            </w:pPr>
          </w:p>
        </w:tc>
      </w:tr>
    </w:tbl>
    <w:p w:rsidR="00185276" w:rsidRPr="0030195A" w:rsidRDefault="002D0F74" w:rsidP="00605BAA">
      <w:pPr>
        <w:ind w:firstLine="567"/>
        <w:jc w:val="both"/>
        <w:rPr>
          <w:rFonts w:ascii="Palatino Linotype" w:hAnsi="Palatino Linotype"/>
          <w:sz w:val="19"/>
          <w:szCs w:val="19"/>
          <w:lang w:val="uz-Cyrl-UZ"/>
        </w:rPr>
      </w:pPr>
      <w:r>
        <w:rPr>
          <w:rFonts w:ascii="Palatino Linotype" w:hAnsi="Palatino Linotype"/>
          <w:sz w:val="19"/>
          <w:szCs w:val="19"/>
          <w:lang w:val="uz-Cyrl-UZ"/>
        </w:rPr>
        <w:t>_______________</w:t>
      </w:r>
      <w:r w:rsidR="00E74044" w:rsidRPr="00E74044">
        <w:rPr>
          <w:rFonts w:ascii="Palatino Linotype" w:hAnsi="Palatino Linotype"/>
          <w:sz w:val="19"/>
          <w:szCs w:val="19"/>
        </w:rPr>
        <w:t>______</w:t>
      </w:r>
      <w:r>
        <w:rPr>
          <w:rFonts w:ascii="Palatino Linotype" w:hAnsi="Palatino Linotype"/>
          <w:sz w:val="19"/>
          <w:szCs w:val="19"/>
          <w:lang w:val="uz-Cyrl-UZ"/>
        </w:rPr>
        <w:t>_____________________</w:t>
      </w:r>
      <w:r w:rsidR="00605BA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>(</w:t>
      </w:r>
      <w:r w:rsidR="00A64A15">
        <w:rPr>
          <w:rFonts w:ascii="Palatino Linotype" w:hAnsi="Palatino Linotype"/>
          <w:sz w:val="19"/>
          <w:szCs w:val="19"/>
          <w:lang w:val="uz-Cyrl-UZ"/>
        </w:rPr>
        <w:t>keyingi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o‘rinlarda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«</w:t>
      </w:r>
      <w:r w:rsidR="00A64A15">
        <w:rPr>
          <w:rFonts w:ascii="Palatino Linotype" w:hAnsi="Palatino Linotype"/>
          <w:sz w:val="19"/>
          <w:szCs w:val="19"/>
          <w:lang w:val="uz-Cyrl-UZ"/>
        </w:rPr>
        <w:t>Sotuvchi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sz w:val="19"/>
          <w:szCs w:val="19"/>
          <w:lang w:val="uz-Cyrl-UZ"/>
        </w:rPr>
        <w:t>deb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ataladi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) </w:t>
      </w:r>
      <w:r w:rsidR="00A64A15">
        <w:rPr>
          <w:rFonts w:ascii="Palatino Linotype" w:hAnsi="Palatino Linotype"/>
          <w:sz w:val="19"/>
          <w:szCs w:val="19"/>
          <w:lang w:val="uz-Cyrl-UZ"/>
        </w:rPr>
        <w:t>nomidan</w:t>
      </w:r>
      <w:r w:rsidR="00A638A9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>
        <w:rPr>
          <w:rFonts w:ascii="Palatino Linotype" w:hAnsi="Palatino Linotype"/>
          <w:sz w:val="19"/>
          <w:szCs w:val="19"/>
          <w:lang w:val="uz-Cyrl-UZ"/>
        </w:rPr>
        <w:t>________________________________________</w:t>
      </w:r>
      <w:r w:rsidR="0005325A" w:rsidRPr="0005325A">
        <w:rPr>
          <w:rFonts w:ascii="Palatino Linotype" w:hAnsi="Palatino Linotype"/>
          <w:sz w:val="19"/>
          <w:szCs w:val="19"/>
          <w:lang w:val="uz-Cyrl-UZ"/>
        </w:rPr>
        <w:t>.</w:t>
      </w:r>
      <w:r w:rsidR="00605BAA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birinchi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tomon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va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ikkinchi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tomon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O‘zbekiston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Respublikasi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Qonunchiligi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hamda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o‘z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Nizomiga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asosan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faoliyat</w:t>
      </w:r>
      <w:r w:rsidR="000B6824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yurituvchi</w:t>
      </w:r>
      <w:r w:rsidR="000B6824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F60167" w:rsidRPr="00F60167">
        <w:rPr>
          <w:rFonts w:ascii="Palatino Linotype" w:hAnsi="Palatino Linotype"/>
          <w:b/>
          <w:sz w:val="19"/>
          <w:szCs w:val="19"/>
        </w:rPr>
        <w:t xml:space="preserve"> Yangiqo'rg'on tuman tibbiyot birlashmasi</w:t>
      </w:r>
      <w:r w:rsidR="00E74044" w:rsidRPr="00E74044">
        <w:rPr>
          <w:rFonts w:ascii="Palatino Linotype" w:hAnsi="Palatino Linotype"/>
          <w:b/>
          <w:sz w:val="19"/>
          <w:szCs w:val="19"/>
        </w:rPr>
        <w:t xml:space="preserve"> bosh shifokorlar </w:t>
      </w:r>
      <w:r w:rsidR="00F60167">
        <w:rPr>
          <w:rFonts w:ascii="Palatino Linotype" w:hAnsi="Palatino Linotype"/>
          <w:b/>
          <w:sz w:val="19"/>
          <w:szCs w:val="19"/>
          <w:lang w:val="en-US"/>
        </w:rPr>
        <w:t>L</w:t>
      </w:r>
      <w:r w:rsidR="00E74044" w:rsidRPr="00E74044">
        <w:rPr>
          <w:rFonts w:ascii="Palatino Linotype" w:hAnsi="Palatino Linotype"/>
          <w:b/>
          <w:sz w:val="19"/>
          <w:szCs w:val="19"/>
        </w:rPr>
        <w:t>.</w:t>
      </w:r>
      <w:r w:rsidR="00F60167">
        <w:rPr>
          <w:rFonts w:ascii="Palatino Linotype" w:hAnsi="Palatino Linotype"/>
          <w:b/>
          <w:sz w:val="19"/>
          <w:szCs w:val="19"/>
          <w:lang w:val="en-US"/>
        </w:rPr>
        <w:t>R</w:t>
      </w:r>
      <w:r w:rsidR="00E74044" w:rsidRPr="00E74044">
        <w:rPr>
          <w:rFonts w:ascii="Palatino Linotype" w:hAnsi="Palatino Linotype"/>
          <w:b/>
          <w:sz w:val="19"/>
          <w:szCs w:val="19"/>
        </w:rPr>
        <w:t xml:space="preserve">. </w:t>
      </w:r>
      <w:r w:rsidR="00F60167">
        <w:rPr>
          <w:rFonts w:ascii="Palatino Linotype" w:hAnsi="Palatino Linotype"/>
          <w:b/>
          <w:sz w:val="19"/>
          <w:szCs w:val="19"/>
          <w:lang w:val="en-US"/>
        </w:rPr>
        <w:t>Axmedova</w:t>
      </w:r>
      <w:r w:rsidR="00F60167" w:rsidRPr="00F60167">
        <w:rPr>
          <w:rFonts w:ascii="Palatino Linotype" w:hAnsi="Palatino Linotype"/>
          <w:b/>
          <w:sz w:val="19"/>
          <w:szCs w:val="19"/>
        </w:rPr>
        <w:t xml:space="preserve"> 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>(</w:t>
      </w:r>
      <w:r w:rsidR="00A64A15">
        <w:rPr>
          <w:rFonts w:ascii="Palatino Linotype" w:hAnsi="Palatino Linotype"/>
          <w:sz w:val="19"/>
          <w:szCs w:val="19"/>
          <w:lang w:val="uz-Cyrl-UZ"/>
        </w:rPr>
        <w:t>kelgusida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"</w:t>
      </w:r>
      <w:r w:rsidR="00A64A15">
        <w:rPr>
          <w:rFonts w:ascii="Palatino Linotype" w:hAnsi="Palatino Linotype"/>
          <w:sz w:val="19"/>
          <w:szCs w:val="19"/>
          <w:lang w:val="uz-Cyrl-UZ"/>
        </w:rPr>
        <w:t>Haridor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" </w:t>
      </w:r>
      <w:r w:rsidR="00A64A15">
        <w:rPr>
          <w:rFonts w:ascii="Palatino Linotype" w:hAnsi="Palatino Linotype"/>
          <w:sz w:val="19"/>
          <w:szCs w:val="19"/>
          <w:lang w:val="uz-Cyrl-UZ"/>
        </w:rPr>
        <w:t>deb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ataladi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) </w:t>
      </w:r>
      <w:r w:rsidR="00A64A15">
        <w:rPr>
          <w:rFonts w:ascii="Palatino Linotype" w:hAnsi="Palatino Linotype"/>
          <w:sz w:val="19"/>
          <w:szCs w:val="19"/>
          <w:lang w:val="uz-Cyrl-UZ"/>
        </w:rPr>
        <w:t>o‘rtalarida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quyidagi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maqsadlarda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tuzil</w:t>
      </w:r>
      <w:bookmarkStart w:id="0" w:name="_GoBack"/>
      <w:bookmarkEnd w:id="0"/>
      <w:r w:rsidR="00A64A15">
        <w:rPr>
          <w:rFonts w:ascii="Palatino Linotype" w:hAnsi="Palatino Linotype"/>
          <w:sz w:val="19"/>
          <w:szCs w:val="19"/>
          <w:lang w:val="uz-Cyrl-UZ"/>
        </w:rPr>
        <w:t>di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>.</w:t>
      </w:r>
    </w:p>
    <w:p w:rsidR="00E74044" w:rsidRDefault="00185276" w:rsidP="00185276">
      <w:pPr>
        <w:tabs>
          <w:tab w:val="left" w:pos="1346"/>
        </w:tabs>
        <w:jc w:val="both"/>
        <w:rPr>
          <w:rFonts w:ascii="Palatino Linotype" w:hAnsi="Palatino Linotype"/>
          <w:sz w:val="19"/>
          <w:szCs w:val="19"/>
          <w:lang w:val="uz-Cyrl-UZ"/>
        </w:rPr>
      </w:pP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</w:p>
    <w:p w:rsidR="0074237D" w:rsidRPr="00E74044" w:rsidRDefault="003D6AA0" w:rsidP="00E74044">
      <w:pPr>
        <w:tabs>
          <w:tab w:val="left" w:pos="1346"/>
        </w:tabs>
        <w:jc w:val="center"/>
        <w:rPr>
          <w:rFonts w:ascii="Palatino Linotype" w:hAnsi="Palatino Linotype"/>
          <w:b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sz w:val="19"/>
          <w:szCs w:val="19"/>
          <w:lang w:val="uz-Cyrl-UZ"/>
        </w:rPr>
        <w:t xml:space="preserve">1. 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Shartnoma</w:t>
      </w:r>
      <w:r w:rsidR="0074237D" w:rsidRPr="00E74044">
        <w:rPr>
          <w:rFonts w:ascii="Palatino Linotype" w:hAnsi="Palatino Linotype"/>
          <w:b/>
          <w:sz w:val="19"/>
          <w:szCs w:val="19"/>
          <w:lang w:val="uz-Cyrl-UZ"/>
        </w:rPr>
        <w:t xml:space="preserve"> 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predmeti</w:t>
      </w:r>
      <w:r w:rsidR="0074237D" w:rsidRPr="00E74044">
        <w:rPr>
          <w:rFonts w:ascii="Palatino Linotype" w:hAnsi="Palatino Linotype"/>
          <w:b/>
          <w:sz w:val="19"/>
          <w:szCs w:val="19"/>
          <w:lang w:val="uz-Cyrl-UZ"/>
        </w:rPr>
        <w:t>.</w:t>
      </w:r>
    </w:p>
    <w:p w:rsidR="0074237D" w:rsidRPr="0030195A" w:rsidRDefault="0074237D" w:rsidP="0074237D">
      <w:pPr>
        <w:jc w:val="both"/>
        <w:rPr>
          <w:rFonts w:ascii="Palatino Linotype" w:hAnsi="Palatino Linotype"/>
          <w:sz w:val="19"/>
          <w:szCs w:val="19"/>
          <w:lang w:val="uz-Cyrl-UZ"/>
        </w:rPr>
      </w:pPr>
      <w:r w:rsidRPr="0030195A">
        <w:rPr>
          <w:rFonts w:ascii="Palatino Linotype" w:hAnsi="Palatino Linotype"/>
          <w:sz w:val="19"/>
          <w:szCs w:val="19"/>
          <w:lang w:val="uz-Cyrl-UZ"/>
        </w:rPr>
        <w:t>1.1. «</w:t>
      </w:r>
      <w:r w:rsidR="00A64A15">
        <w:rPr>
          <w:rFonts w:ascii="Palatino Linotype" w:hAnsi="Palatino Linotype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sz w:val="19"/>
          <w:szCs w:val="19"/>
          <w:lang w:val="uz-Cyrl-UZ"/>
        </w:rPr>
        <w:t>» «</w:t>
      </w:r>
      <w:r w:rsidR="00A64A15">
        <w:rPr>
          <w:rFonts w:ascii="Palatino Linotype" w:hAnsi="Palatino Linotype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sz w:val="19"/>
          <w:szCs w:val="19"/>
          <w:lang w:val="uz-Cyrl-UZ"/>
        </w:rPr>
        <w:t>»</w:t>
      </w:r>
      <w:r w:rsidR="00A64A15">
        <w:rPr>
          <w:rFonts w:ascii="Palatino Linotype" w:hAnsi="Palatino Linotype"/>
          <w:sz w:val="19"/>
          <w:szCs w:val="19"/>
          <w:lang w:val="uz-Cyrl-UZ"/>
        </w:rPr>
        <w:t>ga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quyidagi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mahsulotlarni yetkazib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beradi</w:t>
      </w:r>
      <w:r w:rsidRPr="0030195A">
        <w:rPr>
          <w:rFonts w:ascii="Palatino Linotype" w:hAnsi="Palatino Linotype"/>
          <w:sz w:val="19"/>
          <w:szCs w:val="19"/>
          <w:lang w:val="uz-Cyrl-UZ"/>
        </w:rPr>
        <w:t>:</w:t>
      </w:r>
      <w:r w:rsidR="001011A0">
        <w:rPr>
          <w:rFonts w:ascii="Palatino Linotype" w:hAnsi="Palatino Linotype"/>
          <w:sz w:val="19"/>
          <w:szCs w:val="19"/>
          <w:lang w:val="uz-Cyrl-UZ"/>
        </w:rPr>
        <w:t xml:space="preserve"> </w:t>
      </w:r>
    </w:p>
    <w:p w:rsidR="0074237D" w:rsidRPr="0030195A" w:rsidRDefault="0074237D" w:rsidP="0074237D">
      <w:pPr>
        <w:jc w:val="both"/>
        <w:rPr>
          <w:rFonts w:ascii="Palatino Linotype" w:hAnsi="Palatino Linotype"/>
          <w:sz w:val="19"/>
          <w:szCs w:val="19"/>
          <w:lang w:val="uz-Cyrl-UZ"/>
        </w:rPr>
      </w:pP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1.2. </w:t>
      </w:r>
      <w:r w:rsidR="00A64A15">
        <w:rPr>
          <w:rFonts w:ascii="Palatino Linotype" w:hAnsi="Palatino Linotype"/>
          <w:sz w:val="19"/>
          <w:szCs w:val="19"/>
          <w:lang w:val="uz-Cyrl-UZ"/>
        </w:rPr>
        <w:t>Mazkur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shartnomaning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umumiy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qiymati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94072D">
        <w:rPr>
          <w:rFonts w:ascii="Palatino Linotype" w:hAnsi="Palatino Linotype"/>
          <w:sz w:val="19"/>
          <w:szCs w:val="19"/>
          <w:lang w:val="uz-Cyrl-UZ"/>
        </w:rPr>
        <w:t>_________________________________</w:t>
      </w:r>
      <w:r w:rsidR="002A11A3">
        <w:rPr>
          <w:rFonts w:ascii="Palatino Linotype" w:hAnsi="Palatino Linotype"/>
          <w:b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so‘mni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DB4617">
        <w:rPr>
          <w:rFonts w:ascii="Palatino Linotype" w:hAnsi="Palatino Linotype"/>
          <w:sz w:val="19"/>
          <w:szCs w:val="19"/>
          <w:lang w:val="uz-Cyrl-UZ"/>
        </w:rPr>
        <w:t>(</w:t>
      </w:r>
      <w:r w:rsidR="00A64A15">
        <w:rPr>
          <w:rFonts w:ascii="Palatino Linotype" w:hAnsi="Palatino Linotype"/>
          <w:sz w:val="19"/>
          <w:szCs w:val="19"/>
          <w:lang w:val="uz-Cyrl-UZ"/>
        </w:rPr>
        <w:t>QQS</w:t>
      </w:r>
      <w:r w:rsidR="00DB4617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bilan</w:t>
      </w:r>
      <w:r w:rsidR="00DB4617">
        <w:rPr>
          <w:rFonts w:ascii="Palatino Linotype" w:hAnsi="Palatino Linotype"/>
          <w:sz w:val="19"/>
          <w:szCs w:val="19"/>
          <w:lang w:val="uz-Cyrl-UZ"/>
        </w:rPr>
        <w:t xml:space="preserve">) </w:t>
      </w:r>
      <w:r w:rsidR="00A64A15">
        <w:rPr>
          <w:rFonts w:ascii="Palatino Linotype" w:hAnsi="Palatino Linotype"/>
          <w:sz w:val="19"/>
          <w:szCs w:val="19"/>
          <w:lang w:val="uz-Cyrl-UZ"/>
        </w:rPr>
        <w:t>tashkil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qiladi</w:t>
      </w:r>
      <w:r w:rsidRPr="0030195A">
        <w:rPr>
          <w:rFonts w:ascii="Palatino Linotype" w:hAnsi="Palatino Linotype"/>
          <w:sz w:val="19"/>
          <w:szCs w:val="19"/>
          <w:lang w:val="uz-Cyrl-UZ"/>
        </w:rPr>
        <w:t>.</w:t>
      </w:r>
    </w:p>
    <w:p w:rsidR="00CD567E" w:rsidRDefault="0074237D" w:rsidP="0074237D">
      <w:pPr>
        <w:jc w:val="both"/>
        <w:rPr>
          <w:rFonts w:ascii="Palatino Linotype" w:hAnsi="Palatino Linotype"/>
          <w:sz w:val="19"/>
          <w:szCs w:val="19"/>
          <w:lang w:val="en-US"/>
        </w:rPr>
      </w:pPr>
      <w:r w:rsidRPr="00A64A15">
        <w:rPr>
          <w:rFonts w:ascii="Palatino Linotype" w:hAnsi="Palatino Linotype"/>
          <w:sz w:val="19"/>
          <w:szCs w:val="19"/>
          <w:lang w:val="en-US"/>
        </w:rPr>
        <w:t xml:space="preserve">1.3.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sulotlar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uyidagi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assortimentda yetkazib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beriladi</w:t>
      </w:r>
      <w:r w:rsidRPr="00A64A15">
        <w:rPr>
          <w:rFonts w:ascii="Palatino Linotype" w:hAnsi="Palatino Linotype"/>
          <w:sz w:val="19"/>
          <w:szCs w:val="19"/>
          <w:lang w:val="en-US"/>
        </w:rPr>
        <w:t>:</w:t>
      </w:r>
    </w:p>
    <w:p w:rsidR="00E74044" w:rsidRPr="00A64A15" w:rsidRDefault="00E74044" w:rsidP="0074237D">
      <w:pPr>
        <w:jc w:val="both"/>
        <w:rPr>
          <w:rFonts w:ascii="Palatino Linotype" w:hAnsi="Palatino Linotype"/>
          <w:sz w:val="19"/>
          <w:szCs w:val="19"/>
          <w:lang w:val="en-US"/>
        </w:rPr>
      </w:pPr>
    </w:p>
    <w:tbl>
      <w:tblPr>
        <w:tblW w:w="10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5659"/>
        <w:gridCol w:w="958"/>
        <w:gridCol w:w="957"/>
        <w:gridCol w:w="1374"/>
        <w:gridCol w:w="1530"/>
      </w:tblGrid>
      <w:tr w:rsidR="0074237D" w:rsidRPr="0030195A" w:rsidTr="00E70D04">
        <w:trPr>
          <w:trHeight w:val="201"/>
          <w:jc w:val="center"/>
        </w:trPr>
        <w:tc>
          <w:tcPr>
            <w:tcW w:w="501" w:type="dxa"/>
            <w:vAlign w:val="center"/>
          </w:tcPr>
          <w:p w:rsidR="0074237D" w:rsidRPr="0030195A" w:rsidRDefault="00B01426" w:rsidP="00A001EB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>№</w:t>
            </w:r>
          </w:p>
        </w:tc>
        <w:tc>
          <w:tcPr>
            <w:tcW w:w="5659" w:type="dxa"/>
            <w:vAlign w:val="center"/>
          </w:tcPr>
          <w:p w:rsidR="0074237D" w:rsidRPr="0030195A" w:rsidRDefault="00A64A15" w:rsidP="00F414BD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Mahsulot</w:t>
            </w:r>
            <w:r w:rsidR="00B01426"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nomi</w:t>
            </w:r>
          </w:p>
        </w:tc>
        <w:tc>
          <w:tcPr>
            <w:tcW w:w="958" w:type="dxa"/>
            <w:vAlign w:val="center"/>
          </w:tcPr>
          <w:p w:rsidR="0074237D" w:rsidRPr="0030195A" w:rsidRDefault="00A64A15" w:rsidP="00A001EB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Ul</w:t>
            </w:r>
            <w:r w:rsidR="00A001EB" w:rsidRPr="0030195A">
              <w:rPr>
                <w:rFonts w:ascii="Palatino Linotype" w:hAnsi="Palatino Linotype"/>
                <w:sz w:val="19"/>
                <w:szCs w:val="19"/>
              </w:rPr>
              <w:t>.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b</w:t>
            </w:r>
          </w:p>
        </w:tc>
        <w:tc>
          <w:tcPr>
            <w:tcW w:w="957" w:type="dxa"/>
            <w:vAlign w:val="center"/>
          </w:tcPr>
          <w:p w:rsidR="0074237D" w:rsidRPr="0030195A" w:rsidRDefault="00A64A15" w:rsidP="00875017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Miqdori</w:t>
            </w:r>
          </w:p>
        </w:tc>
        <w:tc>
          <w:tcPr>
            <w:tcW w:w="1374" w:type="dxa"/>
            <w:vAlign w:val="center"/>
          </w:tcPr>
          <w:p w:rsidR="0074237D" w:rsidRPr="0030195A" w:rsidRDefault="00A64A15" w:rsidP="00F414BD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Narhi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br/>
              <w:t>(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QQS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bilan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>)</w:t>
            </w:r>
          </w:p>
        </w:tc>
        <w:tc>
          <w:tcPr>
            <w:tcW w:w="1530" w:type="dxa"/>
            <w:vAlign w:val="center"/>
          </w:tcPr>
          <w:p w:rsidR="0074237D" w:rsidRPr="0030195A" w:rsidRDefault="00A64A15" w:rsidP="00A001EB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Summasi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br/>
              <w:t>(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QQS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bilan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>)</w:t>
            </w:r>
          </w:p>
        </w:tc>
      </w:tr>
      <w:tr w:rsidR="004A6C85" w:rsidRPr="0030195A" w:rsidTr="002D0F74">
        <w:trPr>
          <w:trHeight w:val="814"/>
          <w:jc w:val="center"/>
        </w:trPr>
        <w:tc>
          <w:tcPr>
            <w:tcW w:w="501" w:type="dxa"/>
            <w:vAlign w:val="center"/>
          </w:tcPr>
          <w:p w:rsidR="004A6C85" w:rsidRPr="0030195A" w:rsidRDefault="004A6C85" w:rsidP="004A6C85">
            <w:pPr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 w:rsidRPr="0030195A">
              <w:rPr>
                <w:rFonts w:ascii="Palatino Linotype" w:hAnsi="Palatino Linotype"/>
                <w:b/>
                <w:sz w:val="19"/>
                <w:szCs w:val="19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85" w:rsidRPr="00883B14" w:rsidRDefault="004A6C85" w:rsidP="00533129">
            <w:pPr>
              <w:rPr>
                <w:rFonts w:ascii="Palatino Linotype" w:hAnsi="Palatino Linotype" w:cs="Arial"/>
                <w:sz w:val="19"/>
                <w:szCs w:val="19"/>
                <w:lang w:val="uz-Cyrl-UZ"/>
              </w:rPr>
            </w:pPr>
          </w:p>
        </w:tc>
        <w:tc>
          <w:tcPr>
            <w:tcW w:w="958" w:type="dxa"/>
            <w:vAlign w:val="center"/>
          </w:tcPr>
          <w:p w:rsidR="004A6C85" w:rsidRPr="00DC298A" w:rsidRDefault="004A6C85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85" w:rsidRPr="00DC298A" w:rsidRDefault="004A6C85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85" w:rsidRPr="002A11A3" w:rsidRDefault="004A6C85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85" w:rsidRPr="00DC298A" w:rsidRDefault="004A6C85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</w:tr>
      <w:tr w:rsidR="002A11A3" w:rsidRPr="0030195A" w:rsidTr="00E70D04">
        <w:trPr>
          <w:trHeight w:val="410"/>
          <w:jc w:val="center"/>
        </w:trPr>
        <w:tc>
          <w:tcPr>
            <w:tcW w:w="501" w:type="dxa"/>
            <w:vAlign w:val="center"/>
          </w:tcPr>
          <w:p w:rsidR="002A11A3" w:rsidRPr="00C25ADD" w:rsidRDefault="002A11A3" w:rsidP="002A11A3">
            <w:pPr>
              <w:jc w:val="center"/>
              <w:rPr>
                <w:rFonts w:ascii="Palatino Linotype" w:hAnsi="Palatino Linotype"/>
                <w:sz w:val="19"/>
                <w:szCs w:val="19"/>
              </w:rPr>
            </w:pPr>
          </w:p>
        </w:tc>
        <w:tc>
          <w:tcPr>
            <w:tcW w:w="5659" w:type="dxa"/>
            <w:vAlign w:val="center"/>
          </w:tcPr>
          <w:p w:rsidR="002A11A3" w:rsidRPr="0030195A" w:rsidRDefault="00A64A15" w:rsidP="002A11A3">
            <w:pPr>
              <w:jc w:val="center"/>
              <w:rPr>
                <w:rFonts w:ascii="Palatino Linotype" w:hAnsi="Palatino Linotype"/>
                <w:b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uz-Cyrl-UZ"/>
              </w:rPr>
              <w:t>Jami</w:t>
            </w:r>
          </w:p>
        </w:tc>
        <w:tc>
          <w:tcPr>
            <w:tcW w:w="958" w:type="dxa"/>
            <w:vAlign w:val="center"/>
          </w:tcPr>
          <w:p w:rsidR="002A11A3" w:rsidRPr="0030195A" w:rsidRDefault="002A11A3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957" w:type="dxa"/>
            <w:vAlign w:val="center"/>
          </w:tcPr>
          <w:p w:rsidR="002A11A3" w:rsidRPr="0030195A" w:rsidRDefault="002A11A3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374" w:type="dxa"/>
            <w:vAlign w:val="center"/>
          </w:tcPr>
          <w:p w:rsidR="002A11A3" w:rsidRPr="0030195A" w:rsidRDefault="002A11A3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530" w:type="dxa"/>
            <w:vAlign w:val="center"/>
          </w:tcPr>
          <w:p w:rsidR="002A11A3" w:rsidRPr="0030195A" w:rsidRDefault="002A11A3" w:rsidP="002A11A3">
            <w:pPr>
              <w:jc w:val="center"/>
              <w:rPr>
                <w:rFonts w:ascii="Palatino Linotype" w:hAnsi="Palatino Linotype"/>
                <w:b/>
                <w:sz w:val="19"/>
                <w:szCs w:val="19"/>
                <w:lang w:val="uz-Cyrl-UZ"/>
              </w:rPr>
            </w:pPr>
          </w:p>
        </w:tc>
      </w:tr>
    </w:tbl>
    <w:p w:rsidR="002D0F74" w:rsidRDefault="002D0F74" w:rsidP="00477138">
      <w:pPr>
        <w:jc w:val="center"/>
        <w:rPr>
          <w:rFonts w:ascii="Palatino Linotype" w:hAnsi="Palatino Linotype"/>
          <w:sz w:val="19"/>
          <w:szCs w:val="19"/>
          <w:lang w:val="uz-Cyrl-UZ"/>
        </w:rPr>
      </w:pPr>
    </w:p>
    <w:p w:rsidR="00F661BE" w:rsidRPr="00E74044" w:rsidRDefault="00F661BE" w:rsidP="00477138">
      <w:pPr>
        <w:jc w:val="center"/>
        <w:rPr>
          <w:rFonts w:ascii="Palatino Linotype" w:hAnsi="Palatino Linotype"/>
          <w:b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sz w:val="19"/>
          <w:szCs w:val="19"/>
          <w:lang w:val="uz-Cyrl-UZ"/>
        </w:rPr>
        <w:t xml:space="preserve">2.   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Hisob</w:t>
      </w:r>
      <w:r w:rsidRPr="00E74044">
        <w:rPr>
          <w:rFonts w:ascii="Palatino Linotype" w:hAnsi="Palatino Linotype"/>
          <w:b/>
          <w:sz w:val="19"/>
          <w:szCs w:val="19"/>
          <w:lang w:val="uz-Cyrl-UZ"/>
        </w:rPr>
        <w:t>-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kitob</w:t>
      </w:r>
      <w:r w:rsidRPr="00E74044">
        <w:rPr>
          <w:rFonts w:ascii="Palatino Linotype" w:hAnsi="Palatino Linotype"/>
          <w:b/>
          <w:sz w:val="19"/>
          <w:szCs w:val="19"/>
          <w:lang w:val="uz-Cyrl-UZ"/>
        </w:rPr>
        <w:t xml:space="preserve"> 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shartlari</w:t>
      </w:r>
      <w:r w:rsidRPr="00E74044">
        <w:rPr>
          <w:rFonts w:ascii="Palatino Linotype" w:hAnsi="Palatino Linotype"/>
          <w:b/>
          <w:sz w:val="19"/>
          <w:szCs w:val="19"/>
          <w:lang w:val="uz-Cyrl-UZ"/>
        </w:rPr>
        <w:t>.</w:t>
      </w:r>
    </w:p>
    <w:p w:rsidR="00F661BE" w:rsidRPr="0030195A" w:rsidRDefault="00F661BE" w:rsidP="0047713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2.1.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 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Olingan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mahsulotlari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uchun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kelishilgan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narhda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hisob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-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kitob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qilinadi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:rsidR="00F661BE" w:rsidRPr="0030195A" w:rsidRDefault="00F661BE" w:rsidP="0047713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2.2.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 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mahsulotni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bergandan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so‘ng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o‘zaro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solishtiruv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dalolatnomalariga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asosan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,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berilgan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qiymati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 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uchun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 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ga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pul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o‘tkazish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yo‘li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bilan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to‘lovni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amalga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oshiradi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. "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"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oldindan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 </w:t>
      </w:r>
      <w:r w:rsidR="004C7842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30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%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to‘lovini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amalga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oshiradi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>,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hamda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“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”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shartnomada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kursatilgan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maxsulotlarini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to‘liq yetkazib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bergandan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sung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>, “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Xaridor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”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maxsulotlarini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tekshirib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tulik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kabul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kilgandan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sung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10-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kun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ichida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tulik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xisob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>-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kitob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amalga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oshiriladi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2.3.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sulotlar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uchun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narx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zaro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kelishilgan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xolda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belgilanadi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Bunda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kunga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xududdagi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rtacha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bozor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narxlari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konsalting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firmalar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ulosalari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asosida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dim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etil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narxlar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ilib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olinadi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Agar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Davlat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nazorat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organlari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tkazilgan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tekshirish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taftish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ishlari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natijasida yetkazib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berilgan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sulotlariga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narxlar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yu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ori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deb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topilsa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Ushbu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far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zimmasidan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oplanadi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E74044" w:rsidRDefault="00E74044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</w:p>
    <w:p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3.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Mahsulot yetkazib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berish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3.1.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ilovadagi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simotnomaga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byudjet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muassasalari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ning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manzilgoxlariga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muddatlarda yetkazib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</w:p>
    <w:p w:rsidR="00E74044" w:rsidRDefault="00E74044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</w:p>
    <w:p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4.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Tomonlarning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xu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q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u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q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va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majburiyatlari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4.1.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yuborilgan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vakil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muassasa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raxbari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bosh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xisobchi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imzolangan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xamda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yumalo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muxr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bosilgan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ishonch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rsatgandan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ng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4.2.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sifatini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tasdi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ql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xujjat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(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muvofi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lik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sertifikati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xokazolar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)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larga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joylarga yetkazib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berishga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kafolat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4.3.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xujjatlar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o‘g‘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rasmiylashtirilishini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z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zimmasiga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oladi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xamda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sektor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oshida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tarkibdagi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tuzilgan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komissiyasi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dalolatnomasi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extiyoj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simotiga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manzilgoxiga yetkazib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4.4.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rsatilgan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talabga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javob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xolatdagina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abul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ilib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oladi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4.5.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abul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ilib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olgan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talablariga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nomuvofi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ligini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ani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xolda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,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yozma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dalolatnoma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(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AKT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)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yuboradi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xamda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sifatsiz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deb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topilgan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"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"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aytarib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4.6.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  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uning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ishonch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ozida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ayd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ilingan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Agar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ning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ishonch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ozida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rsatilmagan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yoki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ishonch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ozida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doridan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orti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xollarda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bu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uchun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"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"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lanmaydi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4.7.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sifatsiz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yoki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sertifikatsiz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mahsulotlarlar yetkazib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berilsa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bu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aytarib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beriladi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yoki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bu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uchun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lanmaydi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4.8.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yetkazib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mahsulotlarini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xisob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-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vara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larda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lik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ani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nomini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navini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kategoriyasini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bosh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rsatkichlarini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rsatishi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Shuningdek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xisob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-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vara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larni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tartibda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amlab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rasmiylashtirishi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rasmiylashtirilmagan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xamda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mahsulotning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navi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kategoriyalari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rsatilmagan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isob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-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vara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yicha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to‘lov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amalga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oshirilmaydi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E74044" w:rsidRDefault="00E74044" w:rsidP="00477138">
      <w:pPr>
        <w:ind w:left="2832" w:firstLine="708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</w:p>
    <w:p w:rsidR="00F661BE" w:rsidRPr="00E74044" w:rsidRDefault="00F661BE" w:rsidP="00477138">
      <w:pPr>
        <w:ind w:left="2832" w:firstLine="708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5.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Jarimalar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qo‘l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lanilishi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sz w:val="19"/>
          <w:szCs w:val="19"/>
          <w:lang w:val="en-US"/>
        </w:rPr>
      </w:pPr>
      <w:r w:rsidRPr="00A64A15">
        <w:rPr>
          <w:rFonts w:ascii="Palatino Linotype" w:hAnsi="Palatino Linotype"/>
          <w:sz w:val="19"/>
          <w:szCs w:val="19"/>
          <w:lang w:val="en-US"/>
        </w:rPr>
        <w:t xml:space="preserve">5.1.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Agar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«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»  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tomonidan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  «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aridor</w:t>
      </w:r>
      <w:r w:rsidRPr="00A64A15">
        <w:rPr>
          <w:rFonts w:ascii="Palatino Linotype" w:hAnsi="Palatino Linotype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ga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sifatsiz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yoki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sa</w:t>
      </w:r>
      <w:r w:rsidR="00A64A15">
        <w:rPr>
          <w:rFonts w:ascii="Palatino Linotype" w:hAnsi="Palatino Linotype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lash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muddatlari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tib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ketgan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sulotlarni yetkazib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kelgan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olda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«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sz w:val="19"/>
          <w:szCs w:val="19"/>
          <w:lang w:val="en-US"/>
        </w:rPr>
        <w:t>» «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dan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bunday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sulotlarning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umumiy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iymatidan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50 %,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lekin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shartnomaning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1.2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lastRenderedPageBreak/>
        <w:t>bandida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rsatib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tilgan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summasining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50 %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dan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oshmagan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xolda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jarima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qo‘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llab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onunchilikda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belgilangan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tartibda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undirib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olinadi</w:t>
      </w:r>
      <w:r w:rsidRPr="00A64A15">
        <w:rPr>
          <w:rFonts w:ascii="Palatino Linotype" w:hAnsi="Palatino Linotype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5.2.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Agar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sulotlar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muddatlarida yetkazib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kelmasa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,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muddati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sulotlarni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umumiy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iymatini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0,5%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bir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muddati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kuni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uchun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jarima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laydi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5.3.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Jarimalar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lanishi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shartnomada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majburiyatlarini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bajarishdan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ozod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etmaydi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E74044" w:rsidRDefault="00E74044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</w:p>
    <w:p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6.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Shartnoma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muddati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6.1.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ikkala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imzolagandan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va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G‘aznachilik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bo‘linmasi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tasdiqlangandan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so‘ng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kuchga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kiradi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6.2.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Shartnomadagi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belgilangan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mahsulotlarni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berish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muddati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imzolangandan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so‘ng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30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kun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6.3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Shartnomadagi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belgilangan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mahsulotlarni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lgandan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ng ye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berilgan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mahsulotlarning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to‘lovini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amalga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oshirish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muddati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20</w:t>
      </w:r>
      <w:r w:rsidR="00196488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2</w:t>
      </w:r>
      <w:r w:rsidR="00A31934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2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yil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31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dekabrgacha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6.4.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tomonlar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kelishuviga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asosan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,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berilgan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sifatsiz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deb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topilganda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va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mazkur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sharntnomaning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4.1; 4.2; 4.3-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bandlari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bajarilmaganda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tomonlama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bekor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qilishi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mumkin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Bekor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qilinganligi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to‘g‘risida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"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" "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"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yozma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ravishda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asoslarni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keltirgan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holda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xat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bilan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ma’lum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qiladi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:rsidR="00E74044" w:rsidRDefault="00E74044" w:rsidP="00477138">
      <w:pPr>
        <w:jc w:val="center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</w:p>
    <w:p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 xml:space="preserve">7.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Fors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-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major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holatlari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.</w:t>
      </w:r>
    </w:p>
    <w:p w:rsidR="00F661BE" w:rsidRPr="0030195A" w:rsidRDefault="00F661BE" w:rsidP="00477138">
      <w:pPr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7.1. 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bo‘yicha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taraflar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o‘rtasida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paydo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bo‘ladigan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barcha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nizolar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kelishmovchiliklar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tomonlar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o‘rtasida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muzokara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yo‘li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bilan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hal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qilib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bo‘lmasa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Iqtisodiy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sudlar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orqali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hal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etiladi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.</w:t>
      </w:r>
    </w:p>
    <w:p w:rsidR="00F661BE" w:rsidRPr="0030195A" w:rsidRDefault="00F661BE" w:rsidP="0019648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7.2. 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Tabiiy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ofatlar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urush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va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ommaviy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tartibsizliklar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sababli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shartlari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bajarilmasa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tomonlar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mulkiy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javobgarlikdan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ozod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etiladi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.</w:t>
      </w:r>
    </w:p>
    <w:p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 xml:space="preserve">8.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Qo‘shimcha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shartlar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.</w:t>
      </w:r>
    </w:p>
    <w:p w:rsidR="00F661BE" w:rsidRPr="0009078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8.1.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yuzasidan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kelib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chiqqan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nizolar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o‘zaro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hal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qilinadi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O‘zaro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hal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qilinmagan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taqdirda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O‘zbekiston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Respublikasi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qonunlariga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asosan</w:t>
      </w:r>
      <w:r w:rsidR="00EC7FDC"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Iqtisodiy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sudlar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orqali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hal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qilinadi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>8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.2.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ikki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nusxada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tuzilib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nusxasi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teng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yuridik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kuchga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ega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bo‘lib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tomonlarda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nus’hadan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saqlanadi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:rsidR="00F661BE" w:rsidRDefault="00F661BE" w:rsidP="00F661BE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8.3.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Shartnomaga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barcha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o‘zgartirishlar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ikkala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kelishilgan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va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shartnomaga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qo‘shimcha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bitim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imzolangan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holda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qonuniy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deb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xisoblanadi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:rsidR="00E74044" w:rsidRPr="00E74044" w:rsidRDefault="00E74044" w:rsidP="00E74044">
      <w:pPr>
        <w:jc w:val="center"/>
        <w:rPr>
          <w:rFonts w:ascii="Palatino Linotype" w:hAnsi="Palatino Linotype"/>
          <w:b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color w:val="000000"/>
          <w:sz w:val="19"/>
          <w:szCs w:val="19"/>
          <w:lang w:val="uz-Cyrl-UZ"/>
        </w:rPr>
        <w:t>9. Korrupsiyaga qarshi shartlashuv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Tomonlar shartnoma bo‘yicha o‘z majburiyatlarini bajarayotganda O‘zbekiston Respublikasining korrupsiyaga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qarshi kurashish to‘g‘risidagi qonun hujjatlarining talablariga zid keladigan har qanday harakatlarni amalga oshirmaydilar,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shu jumladan pora, ya’ni (Amudaryo tumani Tibbiyot birlashmasi) xodimi o‘z xizmat majburiyatlaridan foydalangan holda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pora bergan shaxsning manfaatlarini ko‘zlab muayyan harakatlarni sodir etishi yoki sodir etmasligi shartligi yohud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mumkinligi uchun moddiy qimmatliklarni yoki mulkiy naf olish uchun quyidagi harakatlarni qilmaydi:pora berishni taklif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qilish yoki va’da berish; tovlamachilik qilish;pora sifatida pul to‘lash;bevosita yoki bilvosita pora olishga rozilik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berish.Tomonlar ushbu harakatlarga yo‘l qo‘ymaslik bo‘yicha choralar ko‘rilishiga kafolat beradi. Agar shartnoma bo‘yicha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bir Tomon (Amudaryo tumani Tibbiyot birlashmasi) xodimining axloqqa to‘g‘ri kelmaydigan va ushbu shartnoma yoki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O‘zbekiston Respublikasi qonunchilik hujjatlariga zid keladigan xatti-harakatlariga, shu jumladan, korrupsiyaga oid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huquqbuzarlik sodir etishga majburlashdan iborat bo‘lgan faktlarga duch kelsa, bu haqda quyidagi aloqa kanallaridan biri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orqali xabardor qilishi kerak:korrupsiya haqida xabar berishga mo‘ljallangan ishonch telefoni: Telegram-kanali (Amudaryo</w:t>
      </w:r>
    </w:p>
    <w:p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tumani Tibbiyot birlashmasi);(davlat organi yoki takshlotining nomi) rasmiy veb-saytida joylashtirilgan shakl yoki elektron</w:t>
      </w:r>
    </w:p>
    <w:p w:rsid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pochta</w:t>
      </w:r>
    </w:p>
    <w:p w:rsidR="00E74044" w:rsidRPr="004459CB" w:rsidRDefault="00E74044" w:rsidP="00F661BE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236"/>
        <w:gridCol w:w="5171"/>
      </w:tblGrid>
      <w:tr w:rsidR="00F661BE" w:rsidRPr="0030195A" w:rsidTr="00C2072D">
        <w:trPr>
          <w:trHeight w:val="323"/>
        </w:trPr>
        <w:tc>
          <w:tcPr>
            <w:tcW w:w="5155" w:type="dxa"/>
          </w:tcPr>
          <w:p w:rsidR="00F661BE" w:rsidRPr="0030195A" w:rsidRDefault="00F661BE" w:rsidP="00F661BE">
            <w:pPr>
              <w:ind w:right="-108"/>
              <w:jc w:val="center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«</w:t>
            </w:r>
            <w:r w:rsidR="00A64A15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SOTUVChI</w:t>
            </w:r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»</w:t>
            </w:r>
          </w:p>
        </w:tc>
        <w:tc>
          <w:tcPr>
            <w:tcW w:w="236" w:type="dxa"/>
          </w:tcPr>
          <w:p w:rsidR="00F661BE" w:rsidRPr="0030195A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</w:tcPr>
          <w:p w:rsidR="00F661BE" w:rsidRPr="0030195A" w:rsidRDefault="00F661BE" w:rsidP="00F661BE">
            <w:pPr>
              <w:ind w:right="-108"/>
              <w:jc w:val="center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«</w:t>
            </w:r>
            <w:r w:rsidR="00A64A15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HARIDOR</w:t>
            </w:r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»</w:t>
            </w:r>
          </w:p>
        </w:tc>
      </w:tr>
      <w:tr w:rsidR="0005325A" w:rsidRPr="0030195A" w:rsidTr="00C2072D">
        <w:trPr>
          <w:trHeight w:val="323"/>
        </w:trPr>
        <w:tc>
          <w:tcPr>
            <w:tcW w:w="5155" w:type="dxa"/>
          </w:tcPr>
          <w:p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>Sotuvchi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:rsidR="0005325A" w:rsidRPr="00C25ADD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en-US"/>
              </w:rPr>
            </w:pPr>
          </w:p>
        </w:tc>
        <w:tc>
          <w:tcPr>
            <w:tcW w:w="5171" w:type="dxa"/>
          </w:tcPr>
          <w:p w:rsidR="0005325A" w:rsidRPr="0030195A" w:rsidRDefault="00A64A15" w:rsidP="0005325A">
            <w:pPr>
              <w:ind w:left="16" w:right="-108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  <w:r>
              <w:rPr>
                <w:rFonts w:ascii="Palatino Linotype" w:hAnsi="Palatino Linotype"/>
                <w:sz w:val="19"/>
                <w:szCs w:val="19"/>
                <w:u w:val="single"/>
              </w:rPr>
              <w:t>Haridor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: </w:t>
            </w:r>
          </w:p>
        </w:tc>
      </w:tr>
      <w:tr w:rsidR="0005325A" w:rsidRPr="0030195A" w:rsidTr="00C2072D">
        <w:trPr>
          <w:trHeight w:val="323"/>
        </w:trPr>
        <w:tc>
          <w:tcPr>
            <w:tcW w:w="5155" w:type="dxa"/>
          </w:tcPr>
          <w:p w:rsidR="0005325A" w:rsidRPr="0005325A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>Manzili</w:t>
            </w:r>
            <w:r w:rsidR="0005325A" w:rsidRPr="0005325A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</w:tcPr>
          <w:p w:rsidR="0005325A" w:rsidRPr="0030195A" w:rsidRDefault="00A64A15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  <w:r>
              <w:rPr>
                <w:rFonts w:ascii="Palatino Linotype" w:hAnsi="Palatino Linotype"/>
                <w:sz w:val="19"/>
                <w:szCs w:val="19"/>
                <w:u w:val="single"/>
              </w:rPr>
              <w:t>Manzili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: </w:t>
            </w:r>
          </w:p>
        </w:tc>
      </w:tr>
      <w:tr w:rsidR="0005325A" w:rsidRPr="0030195A" w:rsidTr="00C2072D">
        <w:trPr>
          <w:trHeight w:val="323"/>
        </w:trPr>
        <w:tc>
          <w:tcPr>
            <w:tcW w:w="5155" w:type="dxa"/>
          </w:tcPr>
          <w:p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>Tel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</w:tcPr>
          <w:p w:rsidR="0005325A" w:rsidRPr="0030195A" w:rsidRDefault="00A64A15" w:rsidP="0005325A">
            <w:pPr>
              <w:jc w:val="both"/>
              <w:rPr>
                <w:rFonts w:ascii="Palatino Linotype" w:hAnsi="Palatino Linotype"/>
                <w:sz w:val="19"/>
                <w:szCs w:val="19"/>
                <w:u w:val="single"/>
              </w:rPr>
            </w:pPr>
            <w:r>
              <w:rPr>
                <w:rFonts w:ascii="Palatino Linotype" w:hAnsi="Palatino Linotype"/>
                <w:sz w:val="19"/>
                <w:szCs w:val="19"/>
                <w:u w:val="single"/>
              </w:rPr>
              <w:t>Tel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:  </w:t>
            </w:r>
          </w:p>
        </w:tc>
      </w:tr>
      <w:tr w:rsidR="0005325A" w:rsidRPr="0030195A" w:rsidTr="009748A7">
        <w:trPr>
          <w:trHeight w:val="323"/>
        </w:trPr>
        <w:tc>
          <w:tcPr>
            <w:tcW w:w="5155" w:type="dxa"/>
          </w:tcPr>
          <w:p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>Hisob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</w:rPr>
              <w:t>raqam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:rsidR="0005325A" w:rsidRPr="0030195A" w:rsidRDefault="00A64A15" w:rsidP="0005325A">
            <w:pPr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u w:val="single"/>
              </w:rPr>
              <w:t>x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>-</w:t>
            </w:r>
            <w:r>
              <w:rPr>
                <w:rFonts w:ascii="Palatino Linotype" w:hAnsi="Palatino Linotype"/>
                <w:sz w:val="19"/>
                <w:szCs w:val="19"/>
                <w:u w:val="single"/>
              </w:rPr>
              <w:t>v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>: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  <w:t xml:space="preserve"> </w:t>
            </w:r>
            <w:r w:rsidR="0005325A"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  <w:t xml:space="preserve"> </w:t>
            </w:r>
          </w:p>
        </w:tc>
      </w:tr>
      <w:tr w:rsidR="0005325A" w:rsidRPr="0030195A" w:rsidTr="009748A7">
        <w:trPr>
          <w:trHeight w:val="341"/>
        </w:trPr>
        <w:tc>
          <w:tcPr>
            <w:tcW w:w="5155" w:type="dxa"/>
          </w:tcPr>
          <w:p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>STIR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:rsidR="0005325A" w:rsidRPr="0030195A" w:rsidRDefault="00A64A15" w:rsidP="0005325A">
            <w:pPr>
              <w:rPr>
                <w:rFonts w:ascii="Palatino Linotype" w:hAnsi="Palatino Linotype"/>
                <w:sz w:val="19"/>
                <w:szCs w:val="19"/>
                <w:u w:val="single"/>
              </w:rPr>
            </w:pPr>
            <w:r>
              <w:rPr>
                <w:rFonts w:ascii="Palatino Linotype" w:hAnsi="Palatino Linotype"/>
                <w:sz w:val="19"/>
                <w:szCs w:val="19"/>
                <w:u w:val="single"/>
              </w:rPr>
              <w:t>STIR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>:</w:t>
            </w:r>
            <w:r w:rsidR="000532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</w:t>
            </w:r>
          </w:p>
        </w:tc>
      </w:tr>
      <w:tr w:rsidR="0005325A" w:rsidRPr="0030195A" w:rsidTr="009748A7">
        <w:trPr>
          <w:trHeight w:val="323"/>
        </w:trPr>
        <w:tc>
          <w:tcPr>
            <w:tcW w:w="5155" w:type="dxa"/>
          </w:tcPr>
          <w:p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>Bank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:rsidR="0005325A" w:rsidRPr="0030195A" w:rsidRDefault="00A64A15" w:rsidP="0005325A">
            <w:pPr>
              <w:rPr>
                <w:rFonts w:ascii="Palatino Linotype" w:hAnsi="Palatino Linotype"/>
                <w:sz w:val="19"/>
                <w:szCs w:val="19"/>
                <w:u w:val="single"/>
              </w:rPr>
            </w:pPr>
            <w:r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  <w:t>H</w:t>
            </w:r>
            <w:r>
              <w:rPr>
                <w:rFonts w:ascii="Palatino Linotype" w:hAnsi="Palatino Linotype"/>
                <w:sz w:val="19"/>
                <w:szCs w:val="19"/>
                <w:u w:val="single"/>
              </w:rPr>
              <w:t>isob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  <w:u w:val="single"/>
              </w:rPr>
              <w:t>vara</w:t>
            </w:r>
            <w:r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  <w:t>q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</w:t>
            </w:r>
          </w:p>
        </w:tc>
      </w:tr>
      <w:tr w:rsidR="0005325A" w:rsidRPr="0030195A" w:rsidTr="00E74044">
        <w:trPr>
          <w:trHeight w:val="532"/>
        </w:trPr>
        <w:tc>
          <w:tcPr>
            <w:tcW w:w="5155" w:type="dxa"/>
          </w:tcPr>
          <w:p w:rsidR="0005325A" w:rsidRDefault="00A64A15" w:rsidP="0005325A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STIR</w:t>
            </w:r>
            <w:r w:rsidR="0005325A" w:rsidRPr="00501F1F">
              <w:rPr>
                <w:rFonts w:ascii="Palatino Linotype" w:hAnsi="Palatino Linotype"/>
                <w:sz w:val="19"/>
                <w:szCs w:val="19"/>
                <w:lang w:val="en-US"/>
              </w:rPr>
              <w:t>:</w:t>
            </w:r>
            <w:r w:rsidR="002D0F74">
              <w:rPr>
                <w:rFonts w:ascii="Palatino Linotype" w:hAnsi="Palatino Linotype"/>
                <w:sz w:val="19"/>
                <w:szCs w:val="19"/>
              </w:rPr>
              <w:t xml:space="preserve">                           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>,</w:t>
            </w:r>
            <w:r w:rsidR="0005325A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</w:rPr>
              <w:t>OKED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  <w:p w:rsidR="0005325A" w:rsidRPr="00501F1F" w:rsidRDefault="0005325A" w:rsidP="002D0F74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A64A15">
              <w:rPr>
                <w:rFonts w:ascii="Palatino Linotype" w:hAnsi="Palatino Linotype"/>
                <w:sz w:val="19"/>
                <w:szCs w:val="19"/>
              </w:rPr>
              <w:t>RKP</w:t>
            </w:r>
            <w:r w:rsidRPr="00501F1F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A64A15">
              <w:rPr>
                <w:rFonts w:ascii="Palatino Linotype" w:hAnsi="Palatino Linotype"/>
                <w:sz w:val="19"/>
                <w:szCs w:val="19"/>
              </w:rPr>
              <w:t>NDS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:rsidR="0005325A" w:rsidRPr="0030195A" w:rsidRDefault="00A64A15" w:rsidP="0005325A">
            <w:pPr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  <w:t>MFO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  <w:t xml:space="preserve"> 00014</w:t>
            </w:r>
          </w:p>
        </w:tc>
      </w:tr>
      <w:tr w:rsidR="0005325A" w:rsidRPr="0030195A" w:rsidTr="009748A7">
        <w:trPr>
          <w:trHeight w:val="323"/>
        </w:trPr>
        <w:tc>
          <w:tcPr>
            <w:tcW w:w="5155" w:type="dxa"/>
            <w:vAlign w:val="center"/>
          </w:tcPr>
          <w:p w:rsidR="0005325A" w:rsidRPr="00501F1F" w:rsidRDefault="0005325A" w:rsidP="0005325A">
            <w:pPr>
              <w:rPr>
                <w:rFonts w:ascii="Palatino Linotype" w:hAnsi="Palatino Linotype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:rsidR="0005325A" w:rsidRPr="0030195A" w:rsidRDefault="00A64A15" w:rsidP="0005325A">
            <w:pPr>
              <w:rPr>
                <w:rFonts w:ascii="Palatino Linotype" w:hAnsi="Palatino Linotype"/>
                <w:sz w:val="19"/>
                <w:szCs w:val="19"/>
                <w:u w:val="single"/>
              </w:rPr>
            </w:pPr>
            <w:r>
              <w:rPr>
                <w:rFonts w:ascii="Palatino Linotype" w:hAnsi="Palatino Linotype"/>
                <w:sz w:val="19"/>
                <w:szCs w:val="19"/>
                <w:u w:val="single"/>
              </w:rPr>
              <w:t>Markaziy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  <w:u w:val="single"/>
              </w:rPr>
              <w:t>Bank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  <w:u w:val="single"/>
              </w:rPr>
              <w:t>Toshkent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</w:t>
            </w:r>
          </w:p>
        </w:tc>
      </w:tr>
      <w:tr w:rsidR="0005325A" w:rsidRPr="0030195A" w:rsidTr="009748A7">
        <w:trPr>
          <w:trHeight w:val="323"/>
        </w:trPr>
        <w:tc>
          <w:tcPr>
            <w:tcW w:w="5155" w:type="dxa"/>
            <w:vAlign w:val="center"/>
          </w:tcPr>
          <w:p w:rsidR="0005325A" w:rsidRDefault="0005325A" w:rsidP="0005325A">
            <w:pPr>
              <w:rPr>
                <w:rFonts w:ascii="Palatino Linotype" w:hAnsi="Palatino Linotype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:rsidR="0005325A" w:rsidRPr="0030195A" w:rsidRDefault="0005325A" w:rsidP="0005325A">
            <w:pPr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</w:pPr>
          </w:p>
        </w:tc>
      </w:tr>
      <w:tr w:rsidR="0005325A" w:rsidRPr="0030195A" w:rsidTr="009E5224">
        <w:trPr>
          <w:trHeight w:val="323"/>
        </w:trPr>
        <w:tc>
          <w:tcPr>
            <w:tcW w:w="5155" w:type="dxa"/>
            <w:vAlign w:val="center"/>
          </w:tcPr>
          <w:p w:rsidR="0005325A" w:rsidRPr="006920C0" w:rsidRDefault="00A64A15" w:rsidP="002D0F74">
            <w:pPr>
              <w:rPr>
                <w:rFonts w:ascii="Palatino Linotype" w:hAnsi="Palatino Linotype"/>
                <w:sz w:val="19"/>
                <w:szCs w:val="19"/>
                <w:u w:val="single"/>
              </w:rPr>
            </w:pPr>
            <w:r>
              <w:rPr>
                <w:rFonts w:ascii="Palatino Linotype" w:hAnsi="Palatino Linotype"/>
                <w:sz w:val="19"/>
                <w:szCs w:val="19"/>
                <w:u w:val="single"/>
              </w:rPr>
              <w:t>Ra</w:t>
            </w:r>
            <w:r>
              <w:rPr>
                <w:rFonts w:ascii="Palatino Linotype" w:hAnsi="Palatino Linotype"/>
                <w:sz w:val="19"/>
                <w:szCs w:val="19"/>
              </w:rPr>
              <w:t>h</w:t>
            </w:r>
            <w:r>
              <w:rPr>
                <w:rFonts w:ascii="Palatino Linotype" w:hAnsi="Palatino Linotype"/>
                <w:sz w:val="19"/>
                <w:szCs w:val="19"/>
                <w:u w:val="single"/>
              </w:rPr>
              <w:t>bar</w:t>
            </w:r>
            <w:r w:rsidR="0005325A" w:rsidRPr="00501F1F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                         </w:t>
            </w:r>
            <w:r w:rsidR="0005325A">
              <w:rPr>
                <w:rFonts w:ascii="Palatino Linotype" w:hAnsi="Palatino Linotype"/>
                <w:sz w:val="19"/>
                <w:szCs w:val="19"/>
                <w:u w:val="single"/>
              </w:rPr>
              <w:t>_______________</w:t>
            </w:r>
            <w:r w:rsidR="0005325A" w:rsidRPr="00501F1F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 </w:t>
            </w:r>
            <w:r w:rsidR="002D0F74">
              <w:rPr>
                <w:rFonts w:ascii="Palatino Linotype" w:hAnsi="Palatino Linotype"/>
                <w:sz w:val="19"/>
                <w:szCs w:val="19"/>
                <w:u w:val="single"/>
              </w:rPr>
              <w:t>________</w:t>
            </w:r>
            <w:r w:rsidR="0005325A" w:rsidRPr="00501F1F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.</w:t>
            </w:r>
          </w:p>
        </w:tc>
        <w:tc>
          <w:tcPr>
            <w:tcW w:w="236" w:type="dxa"/>
          </w:tcPr>
          <w:p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</w:tcPr>
          <w:p w:rsidR="0005325A" w:rsidRPr="0030195A" w:rsidRDefault="00A64A15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uz-Cyrl-UZ"/>
              </w:rPr>
            </w:pPr>
            <w:r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uz-Cyrl-UZ"/>
              </w:rPr>
              <w:t>Moliya</w:t>
            </w:r>
            <w:r w:rsidR="0005325A"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uz-Cyrl-UZ"/>
              </w:rPr>
              <w:t xml:space="preserve"> </w:t>
            </w:r>
            <w:r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uz-Cyrl-UZ"/>
              </w:rPr>
              <w:t>Vazirligi</w:t>
            </w:r>
            <w:r w:rsidR="0005325A"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uz-Cyrl-UZ"/>
              </w:rPr>
              <w:t xml:space="preserve"> </w:t>
            </w:r>
            <w:r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uz-Cyrl-UZ"/>
              </w:rPr>
              <w:t>G‘aznachiligi</w:t>
            </w:r>
          </w:p>
        </w:tc>
      </w:tr>
    </w:tbl>
    <w:p w:rsidR="00230317" w:rsidRDefault="00230317" w:rsidP="00692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10"/>
        </w:tabs>
        <w:jc w:val="both"/>
        <w:rPr>
          <w:rFonts w:ascii="Palatino Linotype" w:hAnsi="Palatino Linotype"/>
          <w:bCs/>
          <w:color w:val="000000"/>
          <w:sz w:val="19"/>
          <w:szCs w:val="19"/>
          <w:u w:val="single"/>
        </w:rPr>
      </w:pPr>
    </w:p>
    <w:sectPr w:rsidR="00230317" w:rsidSect="00E74044">
      <w:pgSz w:w="11906" w:h="16838"/>
      <w:pgMar w:top="539" w:right="74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6904"/>
    <w:multiLevelType w:val="hybridMultilevel"/>
    <w:tmpl w:val="5382FB9C"/>
    <w:lvl w:ilvl="0" w:tplc="16C6ED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890685"/>
    <w:multiLevelType w:val="hybridMultilevel"/>
    <w:tmpl w:val="A0F08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7D"/>
    <w:rsid w:val="00004B90"/>
    <w:rsid w:val="00016CBC"/>
    <w:rsid w:val="00024E45"/>
    <w:rsid w:val="00026E97"/>
    <w:rsid w:val="00045817"/>
    <w:rsid w:val="00050B87"/>
    <w:rsid w:val="00050C15"/>
    <w:rsid w:val="0005325A"/>
    <w:rsid w:val="00061048"/>
    <w:rsid w:val="00062895"/>
    <w:rsid w:val="00070569"/>
    <w:rsid w:val="0007352F"/>
    <w:rsid w:val="00075E10"/>
    <w:rsid w:val="00090785"/>
    <w:rsid w:val="00091282"/>
    <w:rsid w:val="00097219"/>
    <w:rsid w:val="00097E42"/>
    <w:rsid w:val="000B37FB"/>
    <w:rsid w:val="000B6824"/>
    <w:rsid w:val="000C5547"/>
    <w:rsid w:val="001011A0"/>
    <w:rsid w:val="001069E7"/>
    <w:rsid w:val="00124784"/>
    <w:rsid w:val="00180B4F"/>
    <w:rsid w:val="00185276"/>
    <w:rsid w:val="00187297"/>
    <w:rsid w:val="00191D94"/>
    <w:rsid w:val="00195D31"/>
    <w:rsid w:val="00196488"/>
    <w:rsid w:val="00197201"/>
    <w:rsid w:val="001A6421"/>
    <w:rsid w:val="001A69C5"/>
    <w:rsid w:val="001A7BD9"/>
    <w:rsid w:val="001B32A2"/>
    <w:rsid w:val="001C2EDE"/>
    <w:rsid w:val="001C3B12"/>
    <w:rsid w:val="001C599B"/>
    <w:rsid w:val="001E6BCE"/>
    <w:rsid w:val="00202E2E"/>
    <w:rsid w:val="00230317"/>
    <w:rsid w:val="0023176E"/>
    <w:rsid w:val="00232E7C"/>
    <w:rsid w:val="00233BB0"/>
    <w:rsid w:val="00274763"/>
    <w:rsid w:val="0029193F"/>
    <w:rsid w:val="002A11A3"/>
    <w:rsid w:val="002B5314"/>
    <w:rsid w:val="002B78EE"/>
    <w:rsid w:val="002B7E52"/>
    <w:rsid w:val="002D008E"/>
    <w:rsid w:val="002D0F74"/>
    <w:rsid w:val="002D1A71"/>
    <w:rsid w:val="002F2B9B"/>
    <w:rsid w:val="002F5077"/>
    <w:rsid w:val="002F6A9D"/>
    <w:rsid w:val="0030195A"/>
    <w:rsid w:val="003109FD"/>
    <w:rsid w:val="00312463"/>
    <w:rsid w:val="00315344"/>
    <w:rsid w:val="003355CE"/>
    <w:rsid w:val="003426C9"/>
    <w:rsid w:val="00342DAB"/>
    <w:rsid w:val="003464B9"/>
    <w:rsid w:val="0035513A"/>
    <w:rsid w:val="0038051E"/>
    <w:rsid w:val="003823AE"/>
    <w:rsid w:val="003904E3"/>
    <w:rsid w:val="00393C89"/>
    <w:rsid w:val="00393E30"/>
    <w:rsid w:val="00397344"/>
    <w:rsid w:val="00397846"/>
    <w:rsid w:val="003B1699"/>
    <w:rsid w:val="003B50CA"/>
    <w:rsid w:val="003B522A"/>
    <w:rsid w:val="003D0CEA"/>
    <w:rsid w:val="003D6AA0"/>
    <w:rsid w:val="003E424B"/>
    <w:rsid w:val="003E6279"/>
    <w:rsid w:val="003E65AD"/>
    <w:rsid w:val="004045BA"/>
    <w:rsid w:val="00416A4C"/>
    <w:rsid w:val="00431ED9"/>
    <w:rsid w:val="00442C4E"/>
    <w:rsid w:val="004459CB"/>
    <w:rsid w:val="00475136"/>
    <w:rsid w:val="00477138"/>
    <w:rsid w:val="004907BF"/>
    <w:rsid w:val="004923F2"/>
    <w:rsid w:val="00495DE5"/>
    <w:rsid w:val="004A6C85"/>
    <w:rsid w:val="004C7842"/>
    <w:rsid w:val="004F0298"/>
    <w:rsid w:val="004F0BEF"/>
    <w:rsid w:val="005132BF"/>
    <w:rsid w:val="00515A21"/>
    <w:rsid w:val="005232DC"/>
    <w:rsid w:val="00527D36"/>
    <w:rsid w:val="005301EC"/>
    <w:rsid w:val="00533129"/>
    <w:rsid w:val="00566A21"/>
    <w:rsid w:val="00576FCC"/>
    <w:rsid w:val="0058386C"/>
    <w:rsid w:val="005C0CE1"/>
    <w:rsid w:val="005C7E59"/>
    <w:rsid w:val="005E2A7B"/>
    <w:rsid w:val="005E6947"/>
    <w:rsid w:val="005F1277"/>
    <w:rsid w:val="005F16E4"/>
    <w:rsid w:val="00605BAA"/>
    <w:rsid w:val="00613B5E"/>
    <w:rsid w:val="00614525"/>
    <w:rsid w:val="0061551D"/>
    <w:rsid w:val="006304E7"/>
    <w:rsid w:val="00642E28"/>
    <w:rsid w:val="00645BBA"/>
    <w:rsid w:val="00645E46"/>
    <w:rsid w:val="00662E0A"/>
    <w:rsid w:val="00676C45"/>
    <w:rsid w:val="00686446"/>
    <w:rsid w:val="00692E35"/>
    <w:rsid w:val="00696A94"/>
    <w:rsid w:val="006B1CAC"/>
    <w:rsid w:val="006B40B1"/>
    <w:rsid w:val="006B76B9"/>
    <w:rsid w:val="006C293D"/>
    <w:rsid w:val="006D14D3"/>
    <w:rsid w:val="006D3031"/>
    <w:rsid w:val="006E6C29"/>
    <w:rsid w:val="00700237"/>
    <w:rsid w:val="00711645"/>
    <w:rsid w:val="00714047"/>
    <w:rsid w:val="00715AE1"/>
    <w:rsid w:val="00720176"/>
    <w:rsid w:val="0074237D"/>
    <w:rsid w:val="00742BE3"/>
    <w:rsid w:val="00755EBE"/>
    <w:rsid w:val="007571DA"/>
    <w:rsid w:val="00761152"/>
    <w:rsid w:val="00764414"/>
    <w:rsid w:val="0079630C"/>
    <w:rsid w:val="007A042B"/>
    <w:rsid w:val="007A211D"/>
    <w:rsid w:val="007B59A6"/>
    <w:rsid w:val="007C080A"/>
    <w:rsid w:val="007C203E"/>
    <w:rsid w:val="007C5AB7"/>
    <w:rsid w:val="007D3D58"/>
    <w:rsid w:val="007E74A8"/>
    <w:rsid w:val="007F274B"/>
    <w:rsid w:val="0083474B"/>
    <w:rsid w:val="00841285"/>
    <w:rsid w:val="00850D77"/>
    <w:rsid w:val="0086149B"/>
    <w:rsid w:val="008636BD"/>
    <w:rsid w:val="00863C03"/>
    <w:rsid w:val="00871F39"/>
    <w:rsid w:val="00875017"/>
    <w:rsid w:val="00876E9C"/>
    <w:rsid w:val="00880E0F"/>
    <w:rsid w:val="00883B14"/>
    <w:rsid w:val="00883DD3"/>
    <w:rsid w:val="00884DD9"/>
    <w:rsid w:val="0088572E"/>
    <w:rsid w:val="0089168D"/>
    <w:rsid w:val="008C0220"/>
    <w:rsid w:val="008D0C85"/>
    <w:rsid w:val="008E7008"/>
    <w:rsid w:val="0094072D"/>
    <w:rsid w:val="0094079C"/>
    <w:rsid w:val="009466F4"/>
    <w:rsid w:val="00955E4C"/>
    <w:rsid w:val="009A1680"/>
    <w:rsid w:val="009B54E8"/>
    <w:rsid w:val="009B7C84"/>
    <w:rsid w:val="009C3173"/>
    <w:rsid w:val="009E1DB9"/>
    <w:rsid w:val="009E270C"/>
    <w:rsid w:val="009E3078"/>
    <w:rsid w:val="009E73C0"/>
    <w:rsid w:val="009F6777"/>
    <w:rsid w:val="009F678B"/>
    <w:rsid w:val="00A001EB"/>
    <w:rsid w:val="00A061CE"/>
    <w:rsid w:val="00A21483"/>
    <w:rsid w:val="00A31934"/>
    <w:rsid w:val="00A5403D"/>
    <w:rsid w:val="00A56C4B"/>
    <w:rsid w:val="00A638A9"/>
    <w:rsid w:val="00A644F2"/>
    <w:rsid w:val="00A64A15"/>
    <w:rsid w:val="00A677EA"/>
    <w:rsid w:val="00A969C3"/>
    <w:rsid w:val="00A9748B"/>
    <w:rsid w:val="00AA1B96"/>
    <w:rsid w:val="00AA1F1A"/>
    <w:rsid w:val="00AA6938"/>
    <w:rsid w:val="00AA69A1"/>
    <w:rsid w:val="00AB0027"/>
    <w:rsid w:val="00AC19DC"/>
    <w:rsid w:val="00AC2314"/>
    <w:rsid w:val="00AC7763"/>
    <w:rsid w:val="00B01426"/>
    <w:rsid w:val="00B045F4"/>
    <w:rsid w:val="00B166AB"/>
    <w:rsid w:val="00B201FA"/>
    <w:rsid w:val="00B37D74"/>
    <w:rsid w:val="00B80A32"/>
    <w:rsid w:val="00B81361"/>
    <w:rsid w:val="00B818E9"/>
    <w:rsid w:val="00BB31A8"/>
    <w:rsid w:val="00BC5F42"/>
    <w:rsid w:val="00BE0AD4"/>
    <w:rsid w:val="00BE3BA6"/>
    <w:rsid w:val="00C16E8A"/>
    <w:rsid w:val="00C2072D"/>
    <w:rsid w:val="00C21D04"/>
    <w:rsid w:val="00C2299E"/>
    <w:rsid w:val="00C22F3B"/>
    <w:rsid w:val="00C25ADD"/>
    <w:rsid w:val="00C25EA2"/>
    <w:rsid w:val="00C365EC"/>
    <w:rsid w:val="00C70FFC"/>
    <w:rsid w:val="00C9263D"/>
    <w:rsid w:val="00CA2D6A"/>
    <w:rsid w:val="00CA4599"/>
    <w:rsid w:val="00CB7332"/>
    <w:rsid w:val="00CC6A86"/>
    <w:rsid w:val="00CD567E"/>
    <w:rsid w:val="00D16F5C"/>
    <w:rsid w:val="00D272E9"/>
    <w:rsid w:val="00D30DD5"/>
    <w:rsid w:val="00D3678D"/>
    <w:rsid w:val="00D64734"/>
    <w:rsid w:val="00D8009E"/>
    <w:rsid w:val="00DB4617"/>
    <w:rsid w:val="00DC1616"/>
    <w:rsid w:val="00DC298A"/>
    <w:rsid w:val="00DC6C50"/>
    <w:rsid w:val="00DD7A1F"/>
    <w:rsid w:val="00DE1CE5"/>
    <w:rsid w:val="00E143AA"/>
    <w:rsid w:val="00E1560E"/>
    <w:rsid w:val="00E1611A"/>
    <w:rsid w:val="00E22B31"/>
    <w:rsid w:val="00E24C1A"/>
    <w:rsid w:val="00E33461"/>
    <w:rsid w:val="00E3359D"/>
    <w:rsid w:val="00E47F04"/>
    <w:rsid w:val="00E50CB9"/>
    <w:rsid w:val="00E64290"/>
    <w:rsid w:val="00E64E43"/>
    <w:rsid w:val="00E66D9A"/>
    <w:rsid w:val="00E70D04"/>
    <w:rsid w:val="00E74044"/>
    <w:rsid w:val="00EC3013"/>
    <w:rsid w:val="00EC7FDC"/>
    <w:rsid w:val="00EE1C37"/>
    <w:rsid w:val="00EE2228"/>
    <w:rsid w:val="00EF4FC5"/>
    <w:rsid w:val="00EF507B"/>
    <w:rsid w:val="00F010F3"/>
    <w:rsid w:val="00F172C3"/>
    <w:rsid w:val="00F22F31"/>
    <w:rsid w:val="00F414BD"/>
    <w:rsid w:val="00F52DDF"/>
    <w:rsid w:val="00F60167"/>
    <w:rsid w:val="00F60C24"/>
    <w:rsid w:val="00F661BE"/>
    <w:rsid w:val="00F72E17"/>
    <w:rsid w:val="00F7783B"/>
    <w:rsid w:val="00FA1113"/>
    <w:rsid w:val="00FA127D"/>
    <w:rsid w:val="00FA12AF"/>
    <w:rsid w:val="00FB2D36"/>
    <w:rsid w:val="00FC1100"/>
    <w:rsid w:val="00FC736C"/>
    <w:rsid w:val="00FD472B"/>
    <w:rsid w:val="00FE6BE5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1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7783B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60C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7783B"/>
    <w:rPr>
      <w:rFonts w:ascii="Arial" w:hAnsi="Arial"/>
      <w:b/>
      <w:sz w:val="18"/>
    </w:rPr>
  </w:style>
  <w:style w:type="character" w:styleId="a5">
    <w:name w:val="Emphasis"/>
    <w:uiPriority w:val="20"/>
    <w:qFormat/>
    <w:rsid w:val="00C25A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1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7783B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60C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7783B"/>
    <w:rPr>
      <w:rFonts w:ascii="Arial" w:hAnsi="Arial"/>
      <w:b/>
      <w:sz w:val="18"/>
    </w:rPr>
  </w:style>
  <w:style w:type="character" w:styleId="a5">
    <w:name w:val="Emphasis"/>
    <w:uiPriority w:val="20"/>
    <w:qFormat/>
    <w:rsid w:val="00C25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 № __</vt:lpstr>
    </vt:vector>
  </TitlesOfParts>
  <Company>Unknown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 № __</dc:title>
  <dc:creator>User</dc:creator>
  <cp:lastModifiedBy>User</cp:lastModifiedBy>
  <cp:revision>2</cp:revision>
  <cp:lastPrinted>2022-06-28T10:21:00Z</cp:lastPrinted>
  <dcterms:created xsi:type="dcterms:W3CDTF">2022-12-06T08:19:00Z</dcterms:created>
  <dcterms:modified xsi:type="dcterms:W3CDTF">2022-12-06T08:19:00Z</dcterms:modified>
</cp:coreProperties>
</file>