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01C" w:rsidRPr="004D601C" w:rsidRDefault="00DA1599" w:rsidP="00DA15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</w:t>
      </w:r>
      <w:proofErr w:type="spellStart"/>
      <w:r w:rsidR="004D601C"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Шартнома</w:t>
      </w:r>
      <w:proofErr w:type="spellEnd"/>
      <w:r w:rsidR="004D601C"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19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“____” </w:t>
      </w:r>
      <w:r w:rsidR="003A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FD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Наманган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шаҳар</w:t>
      </w:r>
      <w:proofErr w:type="spellEnd"/>
    </w:p>
    <w:p w:rsidR="004D601C" w:rsidRPr="004D601C" w:rsidRDefault="004D601C" w:rsidP="004D60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Кейинги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ўринларда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юритиладиган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Наманган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шаҳар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Давлатобод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туман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Халқ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таълими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бўлими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кўрувчи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A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A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Эргашев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кейинги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ўринларда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юритиладиган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FD2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Mega</w:t>
      </w:r>
      <w:r w:rsidR="00FD2B62" w:rsidRPr="00FD2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FD2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aziya</w:t>
      </w:r>
      <w:proofErr w:type="spellEnd"/>
      <w:r w:rsidR="00FD2B62" w:rsidRPr="00FD2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FD2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dizayn</w:t>
      </w:r>
      <w:proofErr w:type="spellEnd"/>
      <w:r w:rsidR="00FD2B62" w:rsidRPr="00FD2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FD2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stroy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масъулияти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чекланган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жамияти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кўрувчи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иккинчи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="004B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М.Джурабоев</w:t>
      </w:r>
      <w:proofErr w:type="spellEnd"/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шартномасини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туздилар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предмети</w:t>
      </w:r>
      <w:proofErr w:type="spellEnd"/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Наманган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шаҳар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Давлатобод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тумани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6535" w:rsidRPr="004B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5А-кичик </w:t>
      </w:r>
      <w:proofErr w:type="spellStart"/>
      <w:r w:rsidR="004B6535" w:rsidRPr="004B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нохия</w:t>
      </w:r>
      <w:proofErr w:type="spellEnd"/>
      <w:r w:rsidR="004B6535" w:rsidRPr="004B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B6535" w:rsidRPr="004B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Fалаба</w:t>
      </w:r>
      <w:proofErr w:type="spellEnd"/>
      <w:r w:rsidR="004B6535" w:rsidRPr="004B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B6535" w:rsidRPr="004B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кучаси</w:t>
      </w:r>
      <w:proofErr w:type="spellEnd"/>
      <w:r w:rsidR="004B6535" w:rsidRPr="004B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1А-уйда </w:t>
      </w:r>
      <w:proofErr w:type="spellStart"/>
      <w:r w:rsidR="004B6535" w:rsidRPr="004B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жойлашган</w:t>
      </w:r>
      <w:proofErr w:type="spellEnd"/>
      <w:r w:rsidR="004B6535" w:rsidRPr="004B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B6535" w:rsidRPr="004B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Халк</w:t>
      </w:r>
      <w:proofErr w:type="spellEnd"/>
      <w:r w:rsidR="004B6535" w:rsidRPr="004B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B6535" w:rsidRPr="004B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таълими</w:t>
      </w:r>
      <w:proofErr w:type="spellEnd"/>
      <w:r w:rsidR="004B6535" w:rsidRPr="004B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B6535" w:rsidRPr="004B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булимига</w:t>
      </w:r>
      <w:proofErr w:type="spellEnd"/>
      <w:r w:rsidR="004B6535" w:rsidRPr="004B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B6535" w:rsidRPr="004B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карашли</w:t>
      </w:r>
      <w:proofErr w:type="spellEnd"/>
      <w:r w:rsidR="004B6535" w:rsidRPr="004B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</w:t>
      </w:r>
      <w:r w:rsidR="004B6535" w:rsidRPr="004B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-Мактаб </w:t>
      </w:r>
      <w:proofErr w:type="spellStart"/>
      <w:r w:rsidR="004B6535" w:rsidRPr="004B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биносини</w:t>
      </w:r>
      <w:proofErr w:type="spellEnd"/>
      <w:r w:rsidR="004B6535" w:rsidRPr="004B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B6535" w:rsidRPr="004B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иссиклик</w:t>
      </w:r>
      <w:proofErr w:type="spellEnd"/>
      <w:r w:rsidR="004B6535" w:rsidRPr="004B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4B6535" w:rsidRPr="004B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тизимини</w:t>
      </w:r>
      <w:proofErr w:type="spellEnd"/>
      <w:r w:rsidR="004B6535" w:rsidRPr="004B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D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мукаммал</w:t>
      </w:r>
      <w:proofErr w:type="spellEnd"/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таъмирлаш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ишларини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лойиҳада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кўзда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обьектни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фойдаланишга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тайёр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мажбурятини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Пудратчи”га</w:t>
      </w:r>
      <w:proofErr w:type="spellEnd"/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шароитлар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яратади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уларни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мажбуриятини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Умумий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шартлар</w:t>
      </w:r>
      <w:proofErr w:type="spellEnd"/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далолатномаси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(Ф-2)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бошқа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харажатлар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ўзаро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тасдиқланган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Ф-3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олинади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тақдим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Пудратчи”га</w:t>
      </w:r>
      <w:proofErr w:type="spellEnd"/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майдонини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бўшатиб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далолатномаси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ойнинг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кунигача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Буюртмачи”га</w:t>
      </w:r>
      <w:proofErr w:type="spellEnd"/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тақдим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тасдиқланади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Пудратчи”дан</w:t>
      </w:r>
      <w:proofErr w:type="spellEnd"/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ишларнинг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текшириб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қилиб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проект-смета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тўғри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келмаса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камчиликларни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хисобидан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бартараф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Пудратчининг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мажбуриятлари</w:t>
      </w:r>
      <w:proofErr w:type="spellEnd"/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лойиха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-смета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жадвалида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ҳажмда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ўзининг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кучлари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жалб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Буюртмачи”га</w:t>
      </w:r>
      <w:proofErr w:type="spellEnd"/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Буюртмачи”ни</w:t>
      </w:r>
      <w:proofErr w:type="spellEnd"/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шартномалари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тузилиши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давомида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субпудратчилар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тузилиши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субпудратчининг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манзили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тўғгрисида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хабардор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Қурилиш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техника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хавфсизлигини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атроф-муҳитни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дарахтни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ер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участкасини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муҳофаза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тадбирлар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бажарилишини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таьминлаш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шатномада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ҳажмда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мажбуриятини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зиммасига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кучи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субпудратчилар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тарзда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бажарилиши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фойдаланишга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тайёр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топширилиши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мулкий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IV.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Буюртмачининг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мажбуриятлари</w:t>
      </w:r>
      <w:proofErr w:type="spellEnd"/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қабулқкилинган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бошқа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функцияларга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риоя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этилишини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назорат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Пудратчи”дан</w:t>
      </w:r>
      <w:proofErr w:type="spellEnd"/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тугалланган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қилиб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имзоланган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(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516EE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давомида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Пудратчи”га</w:t>
      </w:r>
      <w:proofErr w:type="spellEnd"/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ижро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рўйхатини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тақдим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ҳажмда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мажбуриятларини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Тўловлар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ҳисоб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китоблар</w:t>
      </w:r>
      <w:proofErr w:type="spellEnd"/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баҳоси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97 236 824</w:t>
      </w:r>
      <w:r w:rsidRPr="004D6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</w:t>
      </w:r>
      <w:proofErr w:type="spellStart"/>
      <w:r w:rsidR="003A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Туксон</w:t>
      </w:r>
      <w:proofErr w:type="spellEnd"/>
      <w:r w:rsidR="003A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A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етти</w:t>
      </w:r>
      <w:proofErr w:type="spellEnd"/>
      <w:r w:rsidR="003A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миллион </w:t>
      </w:r>
      <w:proofErr w:type="spellStart"/>
      <w:r w:rsidR="003A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икки</w:t>
      </w:r>
      <w:proofErr w:type="spellEnd"/>
      <w:r w:rsidR="003A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юз </w:t>
      </w:r>
      <w:proofErr w:type="spellStart"/>
      <w:r w:rsidR="003A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уттиз</w:t>
      </w:r>
      <w:proofErr w:type="spellEnd"/>
      <w:r w:rsidR="003A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A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олти</w:t>
      </w:r>
      <w:proofErr w:type="spellEnd"/>
      <w:r w:rsidR="003A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A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минг</w:t>
      </w:r>
      <w:proofErr w:type="spellEnd"/>
      <w:r w:rsidR="003A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A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саккиз</w:t>
      </w:r>
      <w:proofErr w:type="spellEnd"/>
      <w:r w:rsidR="003A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юз </w:t>
      </w:r>
      <w:proofErr w:type="spellStart"/>
      <w:r w:rsidR="003A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йигирма</w:t>
      </w:r>
      <w:proofErr w:type="spellEnd"/>
      <w:r w:rsidR="003A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A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турт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сўмни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Буюртмачи”нинг</w:t>
      </w:r>
      <w:proofErr w:type="spellEnd"/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харажатлар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сметасида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ажратилган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маблағлар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ҳисобидан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пул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йўли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тўлаб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Пудратчи”га</w:t>
      </w:r>
      <w:proofErr w:type="spellEnd"/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имзоланган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(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банк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мобайнида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(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ўттиз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аванс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ўртасида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имзоланган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далолатнома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(Ф-2. Ф-3)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ларга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(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кун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мобайнида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имзоланган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 (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кун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мобайнида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объект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топширилгунга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қадар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мулк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ҳуқуқини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саклаб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Обьект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Буюртмачи”га</w:t>
      </w:r>
      <w:proofErr w:type="spellEnd"/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топширилгунга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қадар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обьектнинг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тасодифий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йўқ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қилиниши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шикастланиши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хавфи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Пудратчи”нинг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зиммасида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зиммасига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бажармаган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Буюртмачи”нинг</w:t>
      </w:r>
      <w:proofErr w:type="spellEnd"/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равишда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хабардор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ўзгартиришлар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киритиш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ҳуқуқига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эгадир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Бунда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хақ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озод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қилинмайди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VI.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Томонларнинг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мулкий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жавобгарлиги</w:t>
      </w:r>
      <w:proofErr w:type="spellEnd"/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обьектнинг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тушириш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мажбуриятларини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бузганлиги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Буюртмачи”га</w:t>
      </w:r>
      <w:proofErr w:type="spellEnd"/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ўтказиб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юборилган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бажарилмаган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қисмининг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0,5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микдорида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Бироқ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бунда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пенянинг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сифатсиз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қийматининг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ошмаслиги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керак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тўланмаганда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Пудратчи”га</w:t>
      </w:r>
      <w:proofErr w:type="spellEnd"/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суммасининг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0,4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микдорида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бироқ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суммасининг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ортиқ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бўлмаслиги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керак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Пеня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Пудратчи”нинг</w:t>
      </w:r>
      <w:proofErr w:type="spellEnd"/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кўрсатишнинг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кечикиши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туфайли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зарарларни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қоплашдан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озод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қилмайди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VII.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Низоларни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ҳал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этиш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тартиби</w:t>
      </w:r>
      <w:proofErr w:type="spellEnd"/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шунингдек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зарарларни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қоплашда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пайдо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бўладиган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низоли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масалаларни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ҳал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олмаса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улар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иқтисодий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кўриб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чиқилади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VIII.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Шартноманинг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амал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қилиши</w:t>
      </w:r>
      <w:proofErr w:type="spellEnd"/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мажбуриятларини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бажаргунга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қадар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ўртасидаги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муносабатлар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улар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ҳисоб-китоб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тугалланган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тўхтатилади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Ушбу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Наманган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шаҳар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Ғазначилик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бўлинмасидан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рўйхатдан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ўтгандан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сўнг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IX.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Енгиб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бўлмайдиган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куч (форс-мажор)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ҳолатлари</w:t>
      </w:r>
      <w:proofErr w:type="spellEnd"/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қисман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бажарилмаслиги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табиат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ҳодисалари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бошқа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енгиб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бўлмайдиган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куч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ҳолатлари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натижасида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келиб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чикса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ҳолатлар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бажарилишига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бевосита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таьсир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этса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бундай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қисман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бажармаслик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жавобгарликдан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озод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этиладилар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X.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Алоҳида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шартлар</w:t>
      </w:r>
      <w:proofErr w:type="spellEnd"/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имзолангандан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кейин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ўртасидаги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олдинги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битимлар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ёзишмалар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томонларнинг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ўзаро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келишувлари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кучини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йўқотади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қурилиш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унинг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алоҳида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қисмларига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Буюртмачи”нинг</w:t>
      </w:r>
      <w:proofErr w:type="spellEnd"/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рухсатисиз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субпудратчилардан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ташқари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бирон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учинчи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ҳуқуқига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бўлмайди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ўзгартириш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қўшимчалар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улар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шаклда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расмийлаштирилган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уларни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бўлса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ҳудудий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ғазначилик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бўлимидан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рўйхатдан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ўтгандан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сўнг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ҳақиқий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ҳисобланади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бажариладиган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лойиха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-смета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тайёрлаш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имконияти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бўлмаса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тайёрланади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“</w:t>
      </w:r>
      <w:proofErr w:type="spellStart"/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Пудратчи”га</w:t>
      </w:r>
      <w:proofErr w:type="spellEnd"/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лойиха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-смета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тайёрлаш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сарф-харажатларни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тўлаб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тутилмаган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бошқа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амалдаги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нормалари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кўлланилади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хил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юридик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(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нусхада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4D60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FD2B62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2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декабргача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668C" w:rsidRDefault="000D668C" w:rsidP="004D601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668C" w:rsidRDefault="000D668C" w:rsidP="004D601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668C" w:rsidRDefault="000D668C" w:rsidP="004D601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668C" w:rsidRDefault="000D668C" w:rsidP="004D601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668C" w:rsidRDefault="000D668C" w:rsidP="004D601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668C" w:rsidRDefault="000D668C" w:rsidP="004D601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601C" w:rsidRPr="004D601C" w:rsidRDefault="004D601C" w:rsidP="004D601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XI.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Томонларнинг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реквизитлари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юридик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манзиллари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W w:w="9361" w:type="dxa"/>
        <w:tblCellSpacing w:w="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448"/>
        <w:gridCol w:w="4913"/>
      </w:tblGrid>
      <w:tr w:rsidR="004D601C" w:rsidRPr="004D601C" w:rsidTr="004D601C">
        <w:trPr>
          <w:trHeight w:val="437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4D601C" w:rsidRDefault="004D601C" w:rsidP="004D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«ПУДРАТЧИ»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4D601C" w:rsidRDefault="004D601C" w:rsidP="004D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«БУЮРТМАЧИ»</w:t>
            </w:r>
          </w:p>
        </w:tc>
      </w:tr>
      <w:tr w:rsidR="004D601C" w:rsidRPr="003A2C85" w:rsidTr="004D601C">
        <w:trPr>
          <w:trHeight w:val="437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FD2B62" w:rsidRDefault="004D601C" w:rsidP="00FD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2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«</w:t>
            </w:r>
            <w:r w:rsidR="00FD2B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Mega </w:t>
            </w:r>
            <w:proofErr w:type="spellStart"/>
            <w:r w:rsidR="00FD2B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aziya</w:t>
            </w:r>
            <w:proofErr w:type="spellEnd"/>
            <w:r w:rsidR="00FD2B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FD2B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dizayn</w:t>
            </w:r>
            <w:proofErr w:type="spellEnd"/>
            <w:r w:rsidR="00FD2B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FD2B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stroy</w:t>
            </w:r>
            <w:proofErr w:type="spellEnd"/>
            <w:r w:rsidRPr="00FD2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» </w:t>
            </w:r>
            <w:r w:rsidRPr="004D6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МЧЖ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A63930" w:rsidRDefault="004D601C" w:rsidP="004D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D6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Давлатобод</w:t>
            </w:r>
            <w:proofErr w:type="spellEnd"/>
            <w:r w:rsidRPr="00A6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D6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туман</w:t>
            </w:r>
            <w:r w:rsidRPr="00A6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6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ҳалқ</w:t>
            </w:r>
            <w:proofErr w:type="spellEnd"/>
            <w:r w:rsidRPr="00A6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6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таълими</w:t>
            </w:r>
            <w:proofErr w:type="spellEnd"/>
            <w:r w:rsidRPr="00A6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6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бўлими</w:t>
            </w:r>
            <w:proofErr w:type="spellEnd"/>
          </w:p>
        </w:tc>
      </w:tr>
      <w:tr w:rsidR="004D601C" w:rsidRPr="004D601C" w:rsidTr="004D601C">
        <w:trPr>
          <w:trHeight w:val="615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4D601C" w:rsidRDefault="004D601C" w:rsidP="004D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Манзил</w:t>
            </w:r>
            <w:proofErr w:type="spellEnd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proofErr w:type="gramStart"/>
            <w:r w:rsidR="004B6535">
              <w:rPr>
                <w:rFonts w:ascii="Arial" w:hAnsi="Arial" w:cs="Arial"/>
                <w:w w:val="117"/>
              </w:rPr>
              <w:t>Манзил:</w:t>
            </w:r>
            <w:r w:rsidR="004B6535">
              <w:rPr>
                <w:rFonts w:ascii="Arial" w:hAnsi="Arial" w:cs="Arial"/>
              </w:rPr>
              <w:t>Наманган</w:t>
            </w:r>
            <w:proofErr w:type="spellEnd"/>
            <w:proofErr w:type="gramEnd"/>
            <w:r w:rsidR="004B6535">
              <w:rPr>
                <w:rFonts w:ascii="Arial" w:hAnsi="Arial" w:cs="Arial"/>
              </w:rPr>
              <w:t xml:space="preserve"> </w:t>
            </w:r>
            <w:proofErr w:type="spellStart"/>
            <w:r w:rsidR="004B6535">
              <w:rPr>
                <w:rFonts w:ascii="Arial" w:hAnsi="Arial" w:cs="Arial"/>
              </w:rPr>
              <w:t>шахар</w:t>
            </w:r>
            <w:proofErr w:type="spellEnd"/>
            <w:r w:rsidR="004B6535">
              <w:rPr>
                <w:rFonts w:ascii="Arial" w:hAnsi="Arial" w:cs="Arial"/>
              </w:rPr>
              <w:t xml:space="preserve">  </w:t>
            </w:r>
            <w:proofErr w:type="spellStart"/>
            <w:r w:rsidR="004B6535">
              <w:rPr>
                <w:rFonts w:ascii="Arial" w:hAnsi="Arial" w:cs="Arial"/>
              </w:rPr>
              <w:t>Б.Машраб</w:t>
            </w:r>
            <w:proofErr w:type="spellEnd"/>
            <w:r w:rsidR="004B6535">
              <w:rPr>
                <w:rFonts w:ascii="Arial" w:hAnsi="Arial" w:cs="Arial"/>
              </w:rPr>
              <w:t xml:space="preserve"> </w:t>
            </w:r>
            <w:proofErr w:type="spellStart"/>
            <w:r w:rsidR="004B6535">
              <w:rPr>
                <w:rFonts w:ascii="Arial" w:hAnsi="Arial" w:cs="Arial"/>
              </w:rPr>
              <w:t>кучаси</w:t>
            </w:r>
            <w:proofErr w:type="spellEnd"/>
            <w:r w:rsidR="004B6535">
              <w:rPr>
                <w:rFonts w:ascii="Arial" w:hAnsi="Arial" w:cs="Arial"/>
              </w:rPr>
              <w:t xml:space="preserve"> 3-уй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4D601C" w:rsidRDefault="004D601C" w:rsidP="004D601C">
            <w:pPr>
              <w:pBdr>
                <w:bottom w:val="single" w:sz="6" w:space="0" w:color="DFE1E3"/>
              </w:pBd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Манзил</w:t>
            </w:r>
            <w:proofErr w:type="spellEnd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4D601C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Наманган </w:t>
            </w:r>
            <w:proofErr w:type="spellStart"/>
            <w:r w:rsidRPr="004D601C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шахар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Cyrl-UZ" w:eastAsia="ru-RU"/>
              </w:rPr>
              <w:t xml:space="preserve"> </w:t>
            </w:r>
            <w:proofErr w:type="spellStart"/>
            <w:r w:rsidRPr="004D601C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Давлатобод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Cyrl-UZ" w:eastAsia="ru-RU"/>
              </w:rPr>
              <w:t xml:space="preserve"> </w:t>
            </w:r>
            <w:proofErr w:type="spellStart"/>
            <w:r w:rsidRPr="004D601C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тумани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Cyrl-UZ" w:eastAsia="ru-RU"/>
              </w:rPr>
              <w:t xml:space="preserve"> </w:t>
            </w:r>
            <w:proofErr w:type="spellStart"/>
            <w:r w:rsidRPr="004D601C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Спортчилар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Cyrl-UZ" w:eastAsia="ru-RU"/>
              </w:rPr>
              <w:t xml:space="preserve"> </w:t>
            </w:r>
            <w:r w:rsidRPr="004D601C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Cyrl-UZ" w:eastAsia="ru-RU"/>
              </w:rPr>
              <w:t>ў</w:t>
            </w:r>
            <w:proofErr w:type="spellStart"/>
            <w:r w:rsidRPr="004D601C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часи</w:t>
            </w:r>
            <w:proofErr w:type="spellEnd"/>
            <w:r w:rsidRPr="004D601C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56-уй</w:t>
            </w:r>
          </w:p>
        </w:tc>
      </w:tr>
      <w:tr w:rsidR="004D601C" w:rsidRPr="004D601C" w:rsidTr="004D601C">
        <w:trPr>
          <w:trHeight w:val="437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4D601C" w:rsidRDefault="004D601C" w:rsidP="00D41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Тел./факс  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4D601C" w:rsidRDefault="004D601C" w:rsidP="004D6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Тел./факс  ____________________</w:t>
            </w:r>
          </w:p>
        </w:tc>
      </w:tr>
      <w:tr w:rsidR="004D601C" w:rsidRPr="004D601C" w:rsidTr="004D601C">
        <w:trPr>
          <w:trHeight w:val="437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4D601C" w:rsidRDefault="004D601C" w:rsidP="004D6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4D601C" w:rsidRDefault="004D601C" w:rsidP="004D601C">
            <w:pPr>
              <w:pBdr>
                <w:bottom w:val="single" w:sz="6" w:space="0" w:color="DFE1E3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шҳв</w:t>
            </w:r>
            <w:proofErr w:type="spellEnd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4D601C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100022860144017092100075118</w:t>
            </w:r>
          </w:p>
        </w:tc>
      </w:tr>
      <w:tr w:rsidR="004B6535" w:rsidRPr="004D601C" w:rsidTr="004D3ADD">
        <w:trPr>
          <w:trHeight w:val="437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6535" w:rsidRDefault="004B6535" w:rsidP="004B6535">
            <w:pPr>
              <w:ind w:left="3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х/</w:t>
            </w:r>
            <w:proofErr w:type="gramStart"/>
            <w:r>
              <w:rPr>
                <w:rFonts w:ascii="Arial" w:hAnsi="Arial" w:cs="Arial"/>
              </w:rPr>
              <w:t>р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FD2B62">
              <w:rPr>
                <w:rFonts w:ascii="Arial" w:hAnsi="Arial" w:cs="Arial"/>
              </w:rPr>
              <w:t>2020800040088025</w:t>
            </w:r>
            <w:r w:rsidR="00FD2B62" w:rsidRPr="00FD2B62">
              <w:rPr>
                <w:rFonts w:ascii="Arial" w:hAnsi="Arial" w:cs="Arial"/>
              </w:rPr>
              <w:t>9001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6535" w:rsidRPr="004D601C" w:rsidRDefault="004B6535" w:rsidP="004B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Х/р: 2340 2000 3001 0000 1010</w:t>
            </w:r>
          </w:p>
        </w:tc>
      </w:tr>
      <w:tr w:rsidR="004B6535" w:rsidRPr="004D601C" w:rsidTr="004D3ADD">
        <w:trPr>
          <w:trHeight w:val="802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6535" w:rsidRDefault="004B6535" w:rsidP="004B6535">
            <w:pPr>
              <w:ind w:left="374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  <w:w w:val="117"/>
              </w:rPr>
              <w:t xml:space="preserve">Банк </w:t>
            </w:r>
            <w:proofErr w:type="spellStart"/>
            <w:r>
              <w:rPr>
                <w:rFonts w:ascii="Arial" w:hAnsi="Arial" w:cs="Arial"/>
                <w:spacing w:val="1"/>
                <w:w w:val="117"/>
              </w:rPr>
              <w:t>номи</w:t>
            </w:r>
            <w:proofErr w:type="spellEnd"/>
            <w:r>
              <w:rPr>
                <w:rFonts w:ascii="Arial" w:hAnsi="Arial" w:cs="Arial"/>
              </w:rPr>
              <w:t xml:space="preserve"> АТБ </w:t>
            </w:r>
            <w:proofErr w:type="spellStart"/>
            <w:r>
              <w:rPr>
                <w:rFonts w:ascii="Arial" w:hAnsi="Arial" w:cs="Arial"/>
              </w:rPr>
              <w:t>Асакабанк</w:t>
            </w:r>
            <w:proofErr w:type="spellEnd"/>
          </w:p>
          <w:p w:rsidR="004B6535" w:rsidRDefault="004B6535" w:rsidP="004B6535">
            <w:pPr>
              <w:ind w:left="3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Наманган   булимии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6535" w:rsidRPr="004D601C" w:rsidRDefault="004B6535" w:rsidP="004B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Банк:Тошкент</w:t>
            </w:r>
            <w:proofErr w:type="spellEnd"/>
            <w:proofErr w:type="gramEnd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 </w:t>
            </w:r>
            <w:proofErr w:type="spellStart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Марказий</w:t>
            </w:r>
            <w:proofErr w:type="spellEnd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 ХККМ</w:t>
            </w:r>
          </w:p>
        </w:tc>
      </w:tr>
      <w:tr w:rsidR="004D601C" w:rsidRPr="004D601C" w:rsidTr="004D601C">
        <w:trPr>
          <w:trHeight w:val="437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FD2B62" w:rsidRDefault="004D601C" w:rsidP="00FD2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МФО: </w:t>
            </w:r>
            <w:proofErr w:type="gramStart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4B6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ИНН</w:t>
            </w:r>
            <w:proofErr w:type="gramEnd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D2B62">
              <w:rPr>
                <w:rFonts w:ascii="Arial" w:hAnsi="Arial" w:cs="Arial"/>
                <w:lang w:val="uz-Cyrl-UZ"/>
              </w:rPr>
              <w:t>305546985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4D601C" w:rsidRDefault="004D601C" w:rsidP="004D6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МФО: </w:t>
            </w:r>
            <w:proofErr w:type="gramStart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00014  ИНН</w:t>
            </w:r>
            <w:proofErr w:type="gramEnd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207330236</w:t>
            </w:r>
          </w:p>
        </w:tc>
      </w:tr>
      <w:tr w:rsidR="004D601C" w:rsidRPr="004D601C" w:rsidTr="004D601C">
        <w:trPr>
          <w:trHeight w:val="437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4D601C" w:rsidRDefault="004D601C" w:rsidP="004D6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4D601C" w:rsidRDefault="004D601C" w:rsidP="004D6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01C" w:rsidRPr="004D601C" w:rsidTr="004D601C">
        <w:trPr>
          <w:trHeight w:val="437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4D601C" w:rsidRDefault="004D601C" w:rsidP="004B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Директор:__________    </w:t>
            </w:r>
            <w:proofErr w:type="spellStart"/>
            <w:r w:rsidR="004B6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4D6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4B6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Джурабоев</w:t>
            </w:r>
            <w:proofErr w:type="spellEnd"/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4D601C" w:rsidRDefault="007E246E" w:rsidP="007E2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Раҳбар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:______________ 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З.Эргаше</w:t>
            </w:r>
            <w:r w:rsidR="004D601C" w:rsidRPr="004D6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</w:p>
        </w:tc>
      </w:tr>
    </w:tbl>
    <w:p w:rsidR="00F16013" w:rsidRDefault="00F16013" w:rsidP="004D601C">
      <w:pPr>
        <w:spacing w:line="240" w:lineRule="auto"/>
        <w:jc w:val="both"/>
      </w:pPr>
    </w:p>
    <w:sectPr w:rsidR="00F16013" w:rsidSect="004D60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1423F"/>
    <w:multiLevelType w:val="multilevel"/>
    <w:tmpl w:val="5976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CE"/>
    <w:rsid w:val="000D668C"/>
    <w:rsid w:val="002B04CE"/>
    <w:rsid w:val="003A2C85"/>
    <w:rsid w:val="004B6535"/>
    <w:rsid w:val="004D601C"/>
    <w:rsid w:val="007E246E"/>
    <w:rsid w:val="00A516EE"/>
    <w:rsid w:val="00A63930"/>
    <w:rsid w:val="00BD6CCA"/>
    <w:rsid w:val="00BE1F2D"/>
    <w:rsid w:val="00D419D6"/>
    <w:rsid w:val="00DA1599"/>
    <w:rsid w:val="00F16013"/>
    <w:rsid w:val="00FD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90216-F879-4F89-9C51-F05045A5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0911,bqiaagaaeyqcaaagiaiaaamdwweabwbhaqaaaaaaaaaaaaaaaaaaaaaaaaaaaaaaaaaaaaaaaaaaaaaaaaaaaaaaaaaaaaaaaaaaaaaaaaaaaaaaaaaaaaaaaaaaaaaaaaaaaaaaaaaaaaaaaaaaaaaaaaaaaaaaaaaaaaaaaaaaaaaaaaaaaaaaaaaaaaaaaaaaaaaaaaaaaaaaaaaaaaaaaaaaaaaaaaaaaaa"/>
    <w:basedOn w:val="a"/>
    <w:rsid w:val="004D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Adliya</dc:creator>
  <cp:keywords/>
  <dc:description/>
  <cp:lastModifiedBy>Пользователь</cp:lastModifiedBy>
  <cp:revision>2</cp:revision>
  <dcterms:created xsi:type="dcterms:W3CDTF">2022-10-04T10:46:00Z</dcterms:created>
  <dcterms:modified xsi:type="dcterms:W3CDTF">2022-10-04T10:46:00Z</dcterms:modified>
</cp:coreProperties>
</file>