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C4" w:rsidRPr="00814EC4" w:rsidRDefault="00814EC4" w:rsidP="00311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</w:pPr>
      <w:r w:rsidRPr="00814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                   МАҲСУЛОТ ЕТКАЗИБ БЕРИШ ХИЗМАТИ</w:t>
      </w: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z-Cyrl-UZ" w:eastAsia="ru-RU"/>
        </w:rPr>
      </w:pP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</w:t>
      </w:r>
    </w:p>
    <w:p w:rsid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311B90" w:rsidRPr="00814EC4" w:rsidRDefault="00814EC4" w:rsidP="0081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           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Бизларким қуйида имзо чекиб ўзаро шартнома тузувчилар бир томондан </w:t>
      </w:r>
      <w:r w:rsidR="0073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“</w:t>
      </w:r>
      <w:r w:rsidR="005B5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</w:t>
      </w:r>
      <w:r w:rsidR="00AD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732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”</w:t>
      </w:r>
      <w:r w:rsidR="006E0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BF3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МЧЖ </w:t>
      </w:r>
      <w:r w:rsidR="00311B90" w:rsidRPr="00377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номидан низом асосида ишловчи 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</w:t>
      </w:r>
      <w:r w:rsidR="005B5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___________________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келгусида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деб номланади ва иккинчи томондан 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Избоскан туман мактабгача таълим бўлими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 номидан низом асосида ишловчи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Н.Қобилова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унинг рахбари   келгусида </w:t>
      </w:r>
      <w:r w:rsidR="00311B90" w:rsidRPr="00814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«Истеъмолчи» </w:t>
      </w:r>
      <w:r w:rsidR="00311B90" w:rsidRPr="00814EC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деб номланиб, қуйидаги мазмунда шартнома туздик.</w:t>
      </w:r>
    </w:p>
    <w:p w:rsidR="00311B90" w:rsidRPr="00743585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1.ШАРТНОМА МАЗМУНИ</w:t>
      </w:r>
    </w:p>
    <w:p w:rsidR="00311B90" w:rsidRPr="00743585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1.1 </w:t>
      </w: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«Таъминотчи»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ўзига тегишли бўлган ва келишилган қуйидаги </w:t>
      </w:r>
      <w:r w:rsidR="002B583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махсулот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ларни етказиб беради, </w:t>
      </w:r>
      <w:r w:rsidRPr="00743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«Истеъмолчи»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эса ушбу </w:t>
      </w:r>
      <w:r w:rsidR="005B5F7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махсулотларни</w:t>
      </w:r>
      <w:r w:rsidRPr="00743585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қабул қилиб олиб хисоб - китоб қилади.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қуйидагича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(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cўмда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428"/>
        <w:gridCol w:w="1075"/>
        <w:gridCol w:w="1325"/>
        <w:gridCol w:w="1149"/>
        <w:gridCol w:w="2061"/>
      </w:tblGrid>
      <w:tr w:rsidR="00FC27D0" w:rsidRPr="00FC27D0" w:rsidTr="005B5F7D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7D0" w:rsidRPr="00FC27D0" w:rsidTr="005B5F7D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7D0" w:rsidRPr="00FC27D0" w:rsidTr="005B5F7D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7D0" w:rsidRPr="00FC27D0" w:rsidTr="005B5F7D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7D0" w:rsidRPr="00FC27D0" w:rsidTr="005B5F7D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C27D0" w:rsidRPr="00FC27D0" w:rsidRDefault="00FC27D0" w:rsidP="00FC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F7D" w:rsidRPr="00FC27D0" w:rsidRDefault="00FC27D0" w:rsidP="005B5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FC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Шартноманинг</w:t>
      </w:r>
      <w:proofErr w:type="spellEnd"/>
      <w:r w:rsidRPr="00FC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C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умумий</w:t>
      </w:r>
      <w:proofErr w:type="spellEnd"/>
      <w:r w:rsidRPr="00FC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C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суммаси</w:t>
      </w:r>
      <w:proofErr w:type="spellEnd"/>
      <w:r w:rsidRPr="00FC2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2. ТОВАР МАХСУЛОТНИНГ СИФАТИ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товар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меъёрларга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3. ШАРТНОМА ҚИЙМАТИ ВА ХИСО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Б-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КИТОБ ТАРТИБИ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Маҳқамасининг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414-сонли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кетма-кетлигига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шахсий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варағдаги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қолдиққа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тариқасида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рақамига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охирги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70  %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тасдиқловчи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хисобвара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маблағ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оширилгандан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4.ТОМОНЛАРНИНГ ХУҚ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УҚ ВА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МАЖБУРИЯТЛАРИ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узил-кесил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асоссиз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борувчи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нормативлардан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чекинишга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қўйган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камчиликлар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бепул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натижасида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қопланишини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ШАРТНОМАНИНГ БАЖАРИЛИШИ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тарзда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зиммаларига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таъминласа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бажарилишини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қуйилмайди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маъсул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фактура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хажмда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мобайнида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ёхуд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туркумларини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санасини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хақлидир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буюртманомасида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бошланишидан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6.ТОМОНЛАРНИНГ ЖАВОБГАРЛИГИ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товар-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аниқланган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Таъминотчи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ташқари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нотўғри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хисоб-китоб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6.2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стандарт техник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намуналарга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Това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0,5 %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қийматииинг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Истеъмолчи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Таьминотчи</w:t>
      </w:r>
      <w:proofErr w:type="spell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кечитктирилган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0,4 %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микдорида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тулайди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суммасинниг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50%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чора-тадбирлари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қоролик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қонунчилиги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мувофиқ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қўлланилади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gram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</w:t>
      </w:r>
      <w:proofErr w:type="gramEnd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МАЖОР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7.1.Томонларга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кура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булмас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курсатилган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Фавкулодда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холатларга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ёнгин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кимирлаши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бошка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харбий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Узбекистон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фармонлари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Вазирлар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Махкамасининг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карорлари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хужжатлар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тасдикланган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озод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Юкоридаги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юзасидан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дархол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юборилиши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мажбурийдир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8.НИЗОЛАРНИ ХАЛ ЭТИШ ТАРТИБИ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чиққан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қоидага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мустакил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улар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чораларини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кўрадилар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Томонларнинг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келишмовчиликлари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ўйича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этилмаса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бевосита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мурожаат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килишга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хаклидир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эришилмаган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тақдирда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қонунлари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иктисодий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оркали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ҚЎШИМЧА   ШАРТЛАР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шартларни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олмаслиги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бўлса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киритилади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можор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холатида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бузилса,ўзаро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худудий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Ғазначилик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бўлинмасида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ўйхатга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2022 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31 </w:t>
      </w:r>
      <w:proofErr w:type="spellStart"/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декабргача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иккала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нусхаси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</w:t>
      </w:r>
      <w:proofErr w:type="gram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хуқуқ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жихатидан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кучли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хисобланади</w:t>
      </w:r>
      <w:proofErr w:type="spellEnd"/>
      <w:r w:rsidRPr="00311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B90" w:rsidRPr="00311B90" w:rsidRDefault="00311B90" w:rsidP="00311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10. ТОМОНЛАР БАНК РЕКВИЗИТЛАРИ  ВА МАНЗИЛГОХЛАРИ.</w:t>
      </w:r>
    </w:p>
    <w:p w:rsidR="00311B90" w:rsidRPr="00311B90" w:rsidRDefault="00311B90" w:rsidP="00311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52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4789"/>
      </w:tblGrid>
      <w:tr w:rsidR="00311B90" w:rsidRPr="00311B90" w:rsidTr="00377257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«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»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 </w:t>
            </w:r>
          </w:p>
          <w:p w:rsidR="00377257" w:rsidRDefault="00743585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</w:pP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D5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Истикбол фаровони</w:t>
            </w:r>
            <w:r w:rsidR="003772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МЧЖ</w:t>
            </w: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6E02CF" w:rsidRDefault="00377257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Манзил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Избоскан туман</w:t>
            </w:r>
            <w:proofErr w:type="gramStart"/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,К</w:t>
            </w:r>
            <w:proofErr w:type="gramEnd"/>
            <w:r w:rsidR="00AD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z-Cyrl-UZ" w:eastAsia="ru-RU"/>
              </w:rPr>
              <w:t>угай МФЙ</w:t>
            </w:r>
          </w:p>
          <w:p w:rsidR="00311B90" w:rsidRPr="008A1F44" w:rsidRDefault="00311B90" w:rsidP="0031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01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МФ</w:t>
            </w:r>
            <w:r w:rsidRPr="00601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О:  </w:t>
            </w:r>
            <w:r w:rsidR="008A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00075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СТИР:  </w:t>
            </w:r>
            <w:r w:rsidR="00AD59AD"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303746739</w:t>
            </w:r>
          </w:p>
          <w:p w:rsidR="00F0218B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Хисоб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D59AD"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20208000400584605001</w:t>
            </w:r>
          </w:p>
          <w:p w:rsidR="00AD59AD" w:rsidRDefault="008A1F44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н</w:t>
            </w:r>
            <w:proofErr w:type="spellStart"/>
            <w:r w:rsidR="00311B90"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оми</w:t>
            </w:r>
            <w:proofErr w:type="spellEnd"/>
            <w:r w:rsidR="00311B90"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Андижон ш., АТ Саноат</w:t>
            </w:r>
          </w:p>
          <w:p w:rsidR="00311B90" w:rsidRPr="008A1F44" w:rsidRDefault="00AD59AD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Курилиш банк Анд. мин.ф</w:t>
            </w:r>
          </w:p>
          <w:p w:rsidR="00311B90" w:rsidRPr="008A1F44" w:rsidRDefault="00311B90" w:rsidP="00743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7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Андижон шахар</w:t>
            </w:r>
          </w:p>
          <w:p w:rsidR="00311B90" w:rsidRPr="008A1F44" w:rsidRDefault="00311B90" w:rsidP="00F0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 +99891</w:t>
            </w:r>
            <w:r w:rsidR="008A1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496</w:t>
            </w:r>
            <w:r w:rsidR="00F02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9990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4752F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ab/>
              <w:t xml:space="preserve"> “Истеъмолчи”</w:t>
            </w:r>
          </w:p>
          <w:p w:rsidR="00311B90" w:rsidRPr="004752F0" w:rsidRDefault="00311B90" w:rsidP="00311B90">
            <w:pPr>
              <w:spacing w:after="0" w:line="240" w:lineRule="auto"/>
              <w:ind w:left="-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  </w:t>
            </w: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Избоскан туман МТБ</w:t>
            </w:r>
          </w:p>
          <w:p w:rsidR="00311B90" w:rsidRPr="004752F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Манзил: Пойтуг ш</w:t>
            </w:r>
            <w:r w:rsidRPr="0047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 </w:t>
            </w:r>
            <w:r w:rsidRPr="00475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Накшбанд куча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маълумоти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23402000300100001010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:100022860032147091100251024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СТИР:305158448    МФО:92400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ошкент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Тел: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+998996020079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1B90" w:rsidRPr="00311B90" w:rsidTr="00377257"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AD5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Рахбар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____________ </w:t>
            </w:r>
            <w:r w:rsidR="00AD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М.Рахмонова</w:t>
            </w: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100" w:type="dxa"/>
            </w:tcMar>
            <w:hideMark/>
          </w:tcPr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Рахбар</w:t>
            </w:r>
            <w:proofErr w:type="spellEnd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__________  </w:t>
            </w:r>
            <w:proofErr w:type="spellStart"/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Н.Қобилова</w:t>
            </w:r>
            <w:proofErr w:type="spellEnd"/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B90" w:rsidRPr="00311B90" w:rsidRDefault="00311B90" w:rsidP="00311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119E" w:rsidRDefault="0085119E"/>
    <w:p w:rsidR="00377257" w:rsidRDefault="002145A7">
      <w:r w:rsidRPr="002145A7">
        <w:t xml:space="preserve">25,01,2021 й кун №37шартномага </w:t>
      </w:r>
      <w:proofErr w:type="spellStart"/>
      <w:r w:rsidRPr="002145A7">
        <w:t>асосан</w:t>
      </w:r>
      <w:proofErr w:type="spellEnd"/>
      <w:r w:rsidRPr="002145A7">
        <w:t xml:space="preserve"> 20 МТМ </w:t>
      </w:r>
      <w:proofErr w:type="spellStart"/>
      <w:r w:rsidRPr="002145A7">
        <w:t>биносини</w:t>
      </w:r>
      <w:proofErr w:type="spellEnd"/>
      <w:r w:rsidRPr="002145A7">
        <w:t xml:space="preserve"> </w:t>
      </w:r>
      <w:proofErr w:type="spellStart"/>
      <w:r w:rsidRPr="002145A7">
        <w:t>жорий</w:t>
      </w:r>
      <w:proofErr w:type="spellEnd"/>
      <w:r w:rsidRPr="002145A7">
        <w:t xml:space="preserve"> </w:t>
      </w:r>
      <w:proofErr w:type="spellStart"/>
      <w:r w:rsidRPr="002145A7">
        <w:t>таъмирлаш</w:t>
      </w:r>
      <w:proofErr w:type="spellEnd"/>
      <w:r w:rsidRPr="002145A7">
        <w:t xml:space="preserve"> </w:t>
      </w:r>
      <w:proofErr w:type="spellStart"/>
      <w:r w:rsidRPr="002145A7">
        <w:t>ишлари</w:t>
      </w:r>
      <w:proofErr w:type="spellEnd"/>
      <w:r w:rsidRPr="002145A7">
        <w:t xml:space="preserve"> </w:t>
      </w:r>
      <w:proofErr w:type="spellStart"/>
      <w:r w:rsidRPr="002145A7">
        <w:t>учун</w:t>
      </w:r>
      <w:proofErr w:type="spellEnd"/>
      <w:r w:rsidRPr="002145A7">
        <w:t xml:space="preserve">  </w:t>
      </w:r>
      <w:proofErr w:type="spellStart"/>
      <w:r w:rsidRPr="002145A7">
        <w:t>умумий</w:t>
      </w:r>
      <w:proofErr w:type="spellEnd"/>
      <w:r w:rsidRPr="002145A7">
        <w:t xml:space="preserve"> </w:t>
      </w:r>
      <w:proofErr w:type="spellStart"/>
      <w:r w:rsidRPr="002145A7">
        <w:t>суммаси</w:t>
      </w:r>
      <w:proofErr w:type="spellEnd"/>
      <w:r w:rsidRPr="002145A7">
        <w:t xml:space="preserve"> 200,890,975 лик </w:t>
      </w:r>
      <w:proofErr w:type="spellStart"/>
      <w:r w:rsidRPr="002145A7">
        <w:t>шундан</w:t>
      </w:r>
      <w:proofErr w:type="spellEnd"/>
      <w:r w:rsidRPr="002145A7">
        <w:t xml:space="preserve"> 64133646 </w:t>
      </w:r>
      <w:proofErr w:type="spellStart"/>
      <w:r w:rsidRPr="002145A7">
        <w:t>сум</w:t>
      </w:r>
      <w:proofErr w:type="spellEnd"/>
      <w:r w:rsidRPr="002145A7">
        <w:t xml:space="preserve"> </w:t>
      </w:r>
      <w:proofErr w:type="spellStart"/>
      <w:r w:rsidRPr="002145A7">
        <w:t>туланган</w:t>
      </w:r>
      <w:proofErr w:type="spellEnd"/>
      <w:r w:rsidRPr="002145A7">
        <w:t xml:space="preserve"> 2022 </w:t>
      </w:r>
      <w:proofErr w:type="spellStart"/>
      <w:r w:rsidRPr="002145A7">
        <w:t>йил</w:t>
      </w:r>
      <w:proofErr w:type="spellEnd"/>
      <w:r w:rsidRPr="002145A7">
        <w:t xml:space="preserve"> </w:t>
      </w:r>
      <w:proofErr w:type="spellStart"/>
      <w:r w:rsidRPr="002145A7">
        <w:t>учун</w:t>
      </w:r>
      <w:proofErr w:type="spellEnd"/>
      <w:r w:rsidRPr="002145A7">
        <w:t xml:space="preserve">  136757329 </w:t>
      </w:r>
      <w:proofErr w:type="spellStart"/>
      <w:r w:rsidRPr="002145A7">
        <w:t>сўм</w:t>
      </w:r>
      <w:proofErr w:type="spellEnd"/>
      <w:r w:rsidRPr="002145A7">
        <w:t xml:space="preserve"> кредитор </w:t>
      </w:r>
      <w:proofErr w:type="spellStart"/>
      <w:r w:rsidRPr="002145A7">
        <w:t>карздан</w:t>
      </w:r>
      <w:proofErr w:type="spellEnd"/>
      <w:r w:rsidRPr="002145A7">
        <w:t xml:space="preserve"> 19173934 </w:t>
      </w:r>
      <w:proofErr w:type="gramStart"/>
      <w:r w:rsidRPr="002145A7">
        <w:t>с</w:t>
      </w:r>
      <w:proofErr w:type="gramEnd"/>
    </w:p>
    <w:sectPr w:rsidR="0037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0"/>
    <w:rsid w:val="00006450"/>
    <w:rsid w:val="000079B0"/>
    <w:rsid w:val="00036549"/>
    <w:rsid w:val="000534B0"/>
    <w:rsid w:val="00055E6D"/>
    <w:rsid w:val="000755BA"/>
    <w:rsid w:val="00075C3B"/>
    <w:rsid w:val="000805C0"/>
    <w:rsid w:val="00092E33"/>
    <w:rsid w:val="000A1A62"/>
    <w:rsid w:val="000A65A3"/>
    <w:rsid w:val="000B09C3"/>
    <w:rsid w:val="000B50F8"/>
    <w:rsid w:val="000B50FD"/>
    <w:rsid w:val="000B613B"/>
    <w:rsid w:val="00106B37"/>
    <w:rsid w:val="00113BFF"/>
    <w:rsid w:val="00115696"/>
    <w:rsid w:val="001229CA"/>
    <w:rsid w:val="00125024"/>
    <w:rsid w:val="00131AC2"/>
    <w:rsid w:val="00135F48"/>
    <w:rsid w:val="00136EBA"/>
    <w:rsid w:val="00154032"/>
    <w:rsid w:val="00186978"/>
    <w:rsid w:val="001A350B"/>
    <w:rsid w:val="001A7A92"/>
    <w:rsid w:val="001B0739"/>
    <w:rsid w:val="001D684E"/>
    <w:rsid w:val="001E7C36"/>
    <w:rsid w:val="0021103A"/>
    <w:rsid w:val="002145A7"/>
    <w:rsid w:val="00223435"/>
    <w:rsid w:val="00223EAC"/>
    <w:rsid w:val="00232950"/>
    <w:rsid w:val="00241873"/>
    <w:rsid w:val="002441D6"/>
    <w:rsid w:val="00244F3D"/>
    <w:rsid w:val="002505C4"/>
    <w:rsid w:val="0025348D"/>
    <w:rsid w:val="00266761"/>
    <w:rsid w:val="002B5836"/>
    <w:rsid w:val="002B7E62"/>
    <w:rsid w:val="002D396C"/>
    <w:rsid w:val="002D4230"/>
    <w:rsid w:val="002F67B4"/>
    <w:rsid w:val="003050B2"/>
    <w:rsid w:val="00307904"/>
    <w:rsid w:val="00311B90"/>
    <w:rsid w:val="00325D96"/>
    <w:rsid w:val="00335A10"/>
    <w:rsid w:val="0034240F"/>
    <w:rsid w:val="00344DEE"/>
    <w:rsid w:val="003577CB"/>
    <w:rsid w:val="003706BB"/>
    <w:rsid w:val="00374921"/>
    <w:rsid w:val="00376B71"/>
    <w:rsid w:val="00377257"/>
    <w:rsid w:val="00377F12"/>
    <w:rsid w:val="003853F6"/>
    <w:rsid w:val="003921AB"/>
    <w:rsid w:val="00397EB6"/>
    <w:rsid w:val="003A4D11"/>
    <w:rsid w:val="003B410F"/>
    <w:rsid w:val="003B7998"/>
    <w:rsid w:val="003C166B"/>
    <w:rsid w:val="003E70B9"/>
    <w:rsid w:val="003F18EF"/>
    <w:rsid w:val="003F61BB"/>
    <w:rsid w:val="00404BD5"/>
    <w:rsid w:val="00415BD0"/>
    <w:rsid w:val="00437330"/>
    <w:rsid w:val="00441CDD"/>
    <w:rsid w:val="00444AA9"/>
    <w:rsid w:val="004752F0"/>
    <w:rsid w:val="00483285"/>
    <w:rsid w:val="004956E9"/>
    <w:rsid w:val="004A02F5"/>
    <w:rsid w:val="004A6A97"/>
    <w:rsid w:val="004D003F"/>
    <w:rsid w:val="005148B3"/>
    <w:rsid w:val="00532FF0"/>
    <w:rsid w:val="0054163C"/>
    <w:rsid w:val="00547712"/>
    <w:rsid w:val="0055073E"/>
    <w:rsid w:val="00567B48"/>
    <w:rsid w:val="00583809"/>
    <w:rsid w:val="00591AAA"/>
    <w:rsid w:val="005A486C"/>
    <w:rsid w:val="005A5D0C"/>
    <w:rsid w:val="005B34E5"/>
    <w:rsid w:val="005B45F8"/>
    <w:rsid w:val="005B5F7D"/>
    <w:rsid w:val="005D0864"/>
    <w:rsid w:val="005D08BE"/>
    <w:rsid w:val="005F3DAE"/>
    <w:rsid w:val="006013DC"/>
    <w:rsid w:val="006106AA"/>
    <w:rsid w:val="00611023"/>
    <w:rsid w:val="00622AC9"/>
    <w:rsid w:val="006277A1"/>
    <w:rsid w:val="0064616E"/>
    <w:rsid w:val="00650183"/>
    <w:rsid w:val="00681AC3"/>
    <w:rsid w:val="00691223"/>
    <w:rsid w:val="00696514"/>
    <w:rsid w:val="006A0EBF"/>
    <w:rsid w:val="006B2C62"/>
    <w:rsid w:val="006C6E61"/>
    <w:rsid w:val="006D1BB8"/>
    <w:rsid w:val="006D2326"/>
    <w:rsid w:val="006E02CF"/>
    <w:rsid w:val="006E27B0"/>
    <w:rsid w:val="006E4E09"/>
    <w:rsid w:val="00705AC8"/>
    <w:rsid w:val="00717106"/>
    <w:rsid w:val="00731CC1"/>
    <w:rsid w:val="00732963"/>
    <w:rsid w:val="0073370D"/>
    <w:rsid w:val="00737416"/>
    <w:rsid w:val="00743585"/>
    <w:rsid w:val="00753AB2"/>
    <w:rsid w:val="00756A89"/>
    <w:rsid w:val="00762A92"/>
    <w:rsid w:val="0078399D"/>
    <w:rsid w:val="007979B9"/>
    <w:rsid w:val="007B012D"/>
    <w:rsid w:val="007D0FA5"/>
    <w:rsid w:val="00814EC4"/>
    <w:rsid w:val="00822232"/>
    <w:rsid w:val="00822A6F"/>
    <w:rsid w:val="0085119E"/>
    <w:rsid w:val="00851CE0"/>
    <w:rsid w:val="00853583"/>
    <w:rsid w:val="008535AF"/>
    <w:rsid w:val="00854BBC"/>
    <w:rsid w:val="008611C6"/>
    <w:rsid w:val="00871EDE"/>
    <w:rsid w:val="008944DD"/>
    <w:rsid w:val="0089563F"/>
    <w:rsid w:val="00897C32"/>
    <w:rsid w:val="008A1C4C"/>
    <w:rsid w:val="008A1F44"/>
    <w:rsid w:val="008A4BFD"/>
    <w:rsid w:val="008D1F6D"/>
    <w:rsid w:val="008E307F"/>
    <w:rsid w:val="008E61AC"/>
    <w:rsid w:val="008E7F2E"/>
    <w:rsid w:val="009041BF"/>
    <w:rsid w:val="00906628"/>
    <w:rsid w:val="00920A6B"/>
    <w:rsid w:val="009220BF"/>
    <w:rsid w:val="009305D0"/>
    <w:rsid w:val="00943E64"/>
    <w:rsid w:val="0098268F"/>
    <w:rsid w:val="0099034C"/>
    <w:rsid w:val="00990CDF"/>
    <w:rsid w:val="00991A2D"/>
    <w:rsid w:val="00992128"/>
    <w:rsid w:val="00994FD6"/>
    <w:rsid w:val="00995790"/>
    <w:rsid w:val="009959D6"/>
    <w:rsid w:val="009B5E6B"/>
    <w:rsid w:val="009C54D5"/>
    <w:rsid w:val="009D0DEE"/>
    <w:rsid w:val="00A25A40"/>
    <w:rsid w:val="00A402FD"/>
    <w:rsid w:val="00A423DB"/>
    <w:rsid w:val="00A52A62"/>
    <w:rsid w:val="00A746CD"/>
    <w:rsid w:val="00A82BA4"/>
    <w:rsid w:val="00A8531E"/>
    <w:rsid w:val="00AA6CC7"/>
    <w:rsid w:val="00AB67AC"/>
    <w:rsid w:val="00AB6D0E"/>
    <w:rsid w:val="00AC27DE"/>
    <w:rsid w:val="00AC6AB2"/>
    <w:rsid w:val="00AD59AD"/>
    <w:rsid w:val="00B1633D"/>
    <w:rsid w:val="00B16429"/>
    <w:rsid w:val="00B16D62"/>
    <w:rsid w:val="00B43104"/>
    <w:rsid w:val="00B5221F"/>
    <w:rsid w:val="00B536E6"/>
    <w:rsid w:val="00B5701F"/>
    <w:rsid w:val="00B70679"/>
    <w:rsid w:val="00B7497E"/>
    <w:rsid w:val="00B96763"/>
    <w:rsid w:val="00BA474E"/>
    <w:rsid w:val="00BD2E7E"/>
    <w:rsid w:val="00BD5AAC"/>
    <w:rsid w:val="00BF396D"/>
    <w:rsid w:val="00C06849"/>
    <w:rsid w:val="00C10283"/>
    <w:rsid w:val="00C11288"/>
    <w:rsid w:val="00C11B5C"/>
    <w:rsid w:val="00C20354"/>
    <w:rsid w:val="00C401D5"/>
    <w:rsid w:val="00C608EB"/>
    <w:rsid w:val="00C670C3"/>
    <w:rsid w:val="00C76EA3"/>
    <w:rsid w:val="00C84C5E"/>
    <w:rsid w:val="00C872EA"/>
    <w:rsid w:val="00CA3714"/>
    <w:rsid w:val="00CB5D17"/>
    <w:rsid w:val="00CC2E22"/>
    <w:rsid w:val="00CF5466"/>
    <w:rsid w:val="00D02168"/>
    <w:rsid w:val="00D13089"/>
    <w:rsid w:val="00D40492"/>
    <w:rsid w:val="00DB5772"/>
    <w:rsid w:val="00DE048C"/>
    <w:rsid w:val="00DE052D"/>
    <w:rsid w:val="00DE56B2"/>
    <w:rsid w:val="00DE64E5"/>
    <w:rsid w:val="00DE65A3"/>
    <w:rsid w:val="00DF5332"/>
    <w:rsid w:val="00E0330E"/>
    <w:rsid w:val="00E1038C"/>
    <w:rsid w:val="00E13589"/>
    <w:rsid w:val="00E15AF7"/>
    <w:rsid w:val="00E17AAA"/>
    <w:rsid w:val="00E22F35"/>
    <w:rsid w:val="00E241BC"/>
    <w:rsid w:val="00E47845"/>
    <w:rsid w:val="00E61786"/>
    <w:rsid w:val="00E61A2C"/>
    <w:rsid w:val="00E63FCE"/>
    <w:rsid w:val="00E66A75"/>
    <w:rsid w:val="00EA44C8"/>
    <w:rsid w:val="00EB6CD9"/>
    <w:rsid w:val="00EC6857"/>
    <w:rsid w:val="00EF6123"/>
    <w:rsid w:val="00F0218B"/>
    <w:rsid w:val="00F038FE"/>
    <w:rsid w:val="00F066E9"/>
    <w:rsid w:val="00F2415E"/>
    <w:rsid w:val="00F30570"/>
    <w:rsid w:val="00F6385B"/>
    <w:rsid w:val="00F73D0D"/>
    <w:rsid w:val="00F75C58"/>
    <w:rsid w:val="00FC0B52"/>
    <w:rsid w:val="00FC17E5"/>
    <w:rsid w:val="00FC27D0"/>
    <w:rsid w:val="00FC652E"/>
    <w:rsid w:val="00FD4D7E"/>
    <w:rsid w:val="00FD5BCB"/>
    <w:rsid w:val="00FE511F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69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F73D0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86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secondary">
    <w:name w:val="text-secondary"/>
    <w:basedOn w:val="a"/>
    <w:rsid w:val="0018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869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7257"/>
    <w:rPr>
      <w:color w:val="0000FF"/>
      <w:u w:val="single"/>
    </w:rPr>
  </w:style>
  <w:style w:type="character" w:styleId="a7">
    <w:name w:val="Emphasis"/>
    <w:basedOn w:val="a0"/>
    <w:uiPriority w:val="20"/>
    <w:qFormat/>
    <w:rsid w:val="00F73D0D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86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secondary">
    <w:name w:val="text-secondary"/>
    <w:basedOn w:val="a"/>
    <w:rsid w:val="0018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Ikromiddin</dc:creator>
  <cp:lastModifiedBy>Ikromiddin</cp:lastModifiedBy>
  <cp:revision>9</cp:revision>
  <cp:lastPrinted>2022-11-17T04:46:00Z</cp:lastPrinted>
  <dcterms:created xsi:type="dcterms:W3CDTF">2022-10-12T15:27:00Z</dcterms:created>
  <dcterms:modified xsi:type="dcterms:W3CDTF">2022-12-06T11:27:00Z</dcterms:modified>
</cp:coreProperties>
</file>