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</w:pPr>
      <w:r w:rsidRPr="009B3F2B"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  <w:t>_____ ШАРТНОМА</w:t>
      </w:r>
    </w:p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</w:pPr>
    </w:p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тузилган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сана                                                                   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тузилган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ҳудуд</w:t>
      </w:r>
    </w:p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</w:p>
    <w:p w:rsidR="00442C27" w:rsidRPr="009B3F2B" w:rsidRDefault="00442C27" w:rsidP="00442C27">
      <w:pPr>
        <w:spacing w:after="0" w:line="240" w:lineRule="auto"/>
        <w:ind w:firstLine="720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proofErr w:type="gram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корхонанинг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шакли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корхонаси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рахбари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раҳбарининг Ф.И.О,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кейинчалик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»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деб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номланади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иккинчи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корхонанинг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шакли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раҳбарининг Ф.И.О.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келгусида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деб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номланади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хамда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тақдим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этган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хужжатларига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асосан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кетма-кетлигига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риоя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қилган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бюджетдан</w:t>
      </w:r>
      <w:proofErr w:type="spellEnd"/>
      <w:proofErr w:type="gram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маблағ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олувчининг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харажатлар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сметасида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кўзда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тутилган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маблағ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доирасида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ғазна хисоб-рақамидан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тўловларни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Молия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ғазна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бўлими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ҳудуди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Молия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бўлими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ғазна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ижроси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бўлими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деб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номланади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учинчи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хисобланиб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ўртада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қуйидаги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мазмунда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туздилар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мазмуни</w:t>
      </w:r>
      <w:proofErr w:type="spellEnd"/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1.1.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 маҳсулотни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proofErr w:type="gram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а хақини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тўлагандан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сўнг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1.2.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эса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навбатида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амалдаги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қоидалар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дан қабул қилиб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керакли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proofErr w:type="gram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 тақдим қилади.</w:t>
      </w: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хисоб-китоб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қилиш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2.1.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бўлган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қуйидаги миқдордаги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таъминлаб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боришни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074"/>
        <w:gridCol w:w="1927"/>
        <w:gridCol w:w="1939"/>
        <w:gridCol w:w="1960"/>
      </w:tblGrid>
      <w:tr w:rsidR="00442C27" w:rsidRPr="009B3F2B" w:rsidTr="00CD35F5">
        <w:trPr>
          <w:trHeight w:val="475"/>
        </w:trPr>
        <w:tc>
          <w:tcPr>
            <w:tcW w:w="68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</w:pPr>
            <w:r w:rsidRPr="009B3F2B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  <w:t>№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Товар номи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Сони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(тўплам)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Нарх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(ҚҚС билан бирга)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Умумий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442C27" w:rsidRPr="009B3F2B" w:rsidTr="00CD35F5">
        <w:trPr>
          <w:trHeight w:val="484"/>
        </w:trPr>
        <w:tc>
          <w:tcPr>
            <w:tcW w:w="68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  <w:r w:rsidRPr="009B3F2B"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442C27" w:rsidRPr="009B3F2B" w:rsidTr="00CD35F5">
        <w:trPr>
          <w:trHeight w:val="420"/>
        </w:trPr>
        <w:tc>
          <w:tcPr>
            <w:tcW w:w="68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  <w:r w:rsidRPr="009B3F2B"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442C27" w:rsidRPr="009B3F2B" w:rsidTr="00CD35F5">
        <w:trPr>
          <w:trHeight w:val="397"/>
        </w:trPr>
        <w:tc>
          <w:tcPr>
            <w:tcW w:w="68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209" w:type="dxa"/>
            <w:gridSpan w:val="3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ЖАМИ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2.2.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тақдим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қонунда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III.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хуқ</w:t>
      </w:r>
      <w:proofErr w:type="gram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у</w:t>
      </w:r>
      <w:proofErr w:type="gram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қлари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3.1.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Товар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олинадиган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аввалдан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тўланидиган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аванс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30% миқдорида аванс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тўлайди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Олинган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қолган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пулини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ойлик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ичида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лаб</w:t>
      </w:r>
      <w:proofErr w:type="spellEnd"/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кафолатини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вақтида қабул қилиб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жихозланган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транспорт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воситаларида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ташиш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хавфсизлик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техникаси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н-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қоидаларини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таъминлашни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..</w:t>
      </w:r>
    </w:p>
    <w:p w:rsidR="00442C27" w:rsidRPr="00441ED3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IV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жавобгарлиги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4.1. </w:t>
      </w:r>
      <w:proofErr w:type="spellStart"/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юклатилган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бажармасалар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ёки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кечиктирсалар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кун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қийматининг Пеня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миқдорида пеня (боқимандалик)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хамда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бажармаганликлари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бажармаганлик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жарима миқдори % миқдорида жарима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тўлайди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лекин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пенянинг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миқдори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қийматининг Пеня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максимал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(миқдори,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суммасидан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) 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ортиб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кетмаслиги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  <w:proofErr w:type="gram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4.2.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Мазкур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имзолашга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тайёрлаш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жараёнида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Ўзбекистон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Республикаси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Хўжалик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юритувчи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субъектлар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фаолиятининг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шартномавий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хуқуқий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базаси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тўғрисида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»г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и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талабларига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риоя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Форс-мажор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5.1.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давомида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форс-мажор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яъни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фавқулодда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вазият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табиий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офатлар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жамоа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тартибсизликлари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хоказолар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юз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соқ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ит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5.2.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Юзага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форс-мажор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бир-бирларини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зудлик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хабардор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қилишлари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Низоларни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хал қилиш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6.1.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ўртасида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ёки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у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боғлик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юзага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барча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келишмовчиликлар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ўртасида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музокара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йўли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хал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6.2.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Агар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келишмовчиликларни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музокара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йўли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хал қилиб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бўлмаса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улар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Хўжалик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суди орқали хал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VII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Шартномага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қўшимча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ўзгартиришлар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киритиш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7.1. Ушбу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киритилган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барча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қўшимча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ўзгартиришлар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факат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иккала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ёзма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равишда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имзо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қўйилгандан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кейингина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юридик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кучга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7.2.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ўзаро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келишувига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асосан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Ўзбекистон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Республикаси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«Фуқаролик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Кодекси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»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амалдаги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меъёрларига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биноан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келтирилган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зарарни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илгари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бекор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мумкин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VIII</w:t>
      </w: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. Қўшимча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шартлар</w:t>
      </w:r>
      <w:proofErr w:type="spellEnd"/>
    </w:p>
    <w:p w:rsidR="00442C27" w:rsidRPr="00442C2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Қўшимча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шартлар</w:t>
      </w:r>
      <w:proofErr w:type="spellEnd"/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IX</w:t>
      </w: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реквизитлари</w:t>
      </w:r>
      <w:proofErr w:type="spellEnd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9B3F2B" w:rsidRDefault="00442C27" w:rsidP="00442C27">
      <w:pPr>
        <w:spacing w:after="0" w:line="240" w:lineRule="auto"/>
        <w:ind w:left="1418"/>
        <w:rPr>
          <w:rFonts w:ascii="Times New Roman" w:eastAsia="Batang" w:hAnsi="Times New Roman"/>
          <w:b/>
          <w:sz w:val="24"/>
          <w:szCs w:val="24"/>
          <w:lang w:val="uz-Cyrl-UZ" w:eastAsia="ko-KR"/>
        </w:rPr>
      </w:pPr>
      <w:r w:rsidRPr="00E73682">
        <w:rPr>
          <w:rFonts w:ascii="Times New Roman" w:eastAsia="Batang" w:hAnsi="Times New Roman"/>
          <w:b/>
          <w:bCs/>
          <w:sz w:val="24"/>
          <w:szCs w:val="24"/>
          <w:lang w:eastAsia="ko-KR"/>
        </w:rPr>
        <w:t>ИШ БАЖАРУВЧИ                                                        БУЮРТМАЧИ</w:t>
      </w:r>
    </w:p>
    <w:tbl>
      <w:tblPr>
        <w:tblW w:w="0" w:type="auto"/>
        <w:tblLook w:val="01E0"/>
      </w:tblPr>
      <w:tblGrid>
        <w:gridCol w:w="4404"/>
        <w:gridCol w:w="885"/>
        <w:gridCol w:w="4282"/>
      </w:tblGrid>
      <w:tr w:rsidR="00442C27" w:rsidRPr="009B3F2B" w:rsidTr="00CD35F5">
        <w:tc>
          <w:tcPr>
            <w:tcW w:w="4662" w:type="dxa"/>
            <w:tcBorders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32"/>
                <w:szCs w:val="32"/>
                <w:lang w:eastAsia="ko-KR"/>
              </w:rPr>
            </w:pPr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ab/>
              <w:t xml:space="preserve">                             </w:t>
            </w: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32"/>
                <w:szCs w:val="32"/>
                <w:lang w:val="uz-Cyrl-UZ"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</w:p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  <w:t>_________________</w:t>
            </w: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  <w:t>_______________</w:t>
            </w:r>
          </w:p>
        </w:tc>
      </w:tr>
    </w:tbl>
    <w:p w:rsidR="001044A3" w:rsidRDefault="001044A3"/>
    <w:sectPr w:rsidR="001044A3" w:rsidSect="0010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27"/>
    <w:rsid w:val="001044A3"/>
    <w:rsid w:val="0044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2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E-max.uz</dc:creator>
  <cp:lastModifiedBy>E-max.uz</cp:lastModifiedBy>
  <cp:revision>1</cp:revision>
  <dcterms:created xsi:type="dcterms:W3CDTF">2022-01-28T11:05:00Z</dcterms:created>
  <dcterms:modified xsi:type="dcterms:W3CDTF">2022-01-28T11:07:00Z</dcterms:modified>
</cp:coreProperties>
</file>