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70112" w14:textId="77777777" w:rsidR="00BB4035" w:rsidRPr="00B43806" w:rsidRDefault="00BB4035" w:rsidP="00BB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</w:pPr>
    </w:p>
    <w:p w14:paraId="3DDF322D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bookmarkStart w:id="0" w:name="_Hlk74401892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 ______</w:t>
      </w:r>
    </w:p>
    <w:p w14:paraId="3694B945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946C81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 xml:space="preserve">Андижон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20___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“____’’_________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ab/>
      </w:r>
    </w:p>
    <w:p w14:paraId="13133B93" w14:textId="46E16968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Андижон вилоят </w:t>
      </w:r>
      <w:r w:rsidR="006A5364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Фтизиатрия ва пульмонология маркази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Низом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бош шифокор </w:t>
      </w:r>
      <w:r w:rsidR="006A5364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="006A5364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Насритдинов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Устав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ишончнома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юритувчи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рахбари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 w:rsidR="00B86FA5" w:rsidRPr="00B86FA5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___________________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кейинчалик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куйидагилар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туздилар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3E13E69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532421FA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 w:rsidRPr="00B972D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предметн</w:t>
      </w:r>
      <w:proofErr w:type="spellEnd"/>
    </w:p>
    <w:p w14:paraId="2C3859E0" w14:textId="77777777" w:rsidR="002F1269" w:rsidRPr="00B972D8" w:rsidRDefault="002F1269" w:rsidP="002F1269">
      <w:pPr>
        <w:pStyle w:val="a4"/>
        <w:ind w:left="1080"/>
        <w:jc w:val="both"/>
        <w:rPr>
          <w:b/>
          <w:sz w:val="28"/>
          <w:szCs w:val="28"/>
        </w:rPr>
      </w:pPr>
    </w:p>
    <w:p w14:paraId="08DCA8FD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1.2-бандида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44BB7BF" w14:textId="75C6F19E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1.2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1.3-бандида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бошлаб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мижозларнинг </w:t>
      </w:r>
      <w:r w:rsidR="00EA5A5F"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 xml:space="preserve">Кир ювиш </w:t>
      </w:r>
      <w:r w:rsidRPr="00EA5A5F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val="uz-Cyrl-UZ" w:eastAsia="ru-RU"/>
        </w:rPr>
        <w:t>хизматини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санитария-гигиена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оидаларига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жадвалига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кейинги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ринларда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аталади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зиммасига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D4D8F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1.3 Хизмат кўрсатиш муддати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7B93D5D0" w14:textId="4A348D23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</w:t>
      </w:r>
      <w:proofErr w:type="gramEnd"/>
      <w:r w:rsidR="00F928A7" w:rsidRPr="00E22452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___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январ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дан.</w:t>
      </w:r>
    </w:p>
    <w:p w14:paraId="717E9035" w14:textId="4B23A27C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20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 w:rsidR="00F928A7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“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31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декабр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F6F470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  <w:t>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хисоб-ра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мабла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деб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B03ADAF" w14:textId="77777777" w:rsidR="002F1269" w:rsidRPr="002F1269" w:rsidRDefault="002F1269" w:rsidP="002F12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272ACE85" w14:textId="77777777" w:rsidR="002F1269" w:rsidRPr="002F1269" w:rsidRDefault="002F1269" w:rsidP="002F12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хуку к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>мажбуриятларн</w:t>
      </w:r>
      <w:proofErr w:type="spellEnd"/>
    </w:p>
    <w:p w14:paraId="304183C8" w14:textId="77777777" w:rsidR="002F1269" w:rsidRPr="003D477E" w:rsidRDefault="002F1269" w:rsidP="002F1269">
      <w:pPr>
        <w:pStyle w:val="a4"/>
        <w:ind w:left="1530"/>
        <w:jc w:val="both"/>
        <w:rPr>
          <w:color w:val="323232"/>
          <w:sz w:val="28"/>
          <w:szCs w:val="28"/>
          <w:lang w:val="uz-Cyrl-UZ"/>
        </w:rPr>
      </w:pPr>
    </w:p>
    <w:p w14:paraId="5C6963B9" w14:textId="77777777" w:rsidR="002F1269" w:rsidRPr="00474346" w:rsidRDefault="002F1269" w:rsidP="002F12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    2.1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ларга эга:</w:t>
      </w:r>
    </w:p>
    <w:p w14:paraId="5223A8C4" w14:textId="77777777" w:rsidR="002F1269" w:rsidRPr="00474346" w:rsidRDefault="002F1269" w:rsidP="002F1269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Ижарага олинган мол-мулкдан фойдаланиш;</w:t>
      </w:r>
    </w:p>
    <w:p w14:paraId="3D0E4B02" w14:textId="77777777" w:rsidR="002F1269" w:rsidRPr="003D477E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2.1.2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Ижарага олинган бино ва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ншоотларнинг ички ва таш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исмида техник жихатдан жихозлаш ва таъмирлаш ишларини амалга ошириш;</w:t>
      </w:r>
    </w:p>
    <w:p w14:paraId="6860637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2.1.3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Хизматлар таннархининг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згариши муносабати билан шартномага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згартириш киритиш таклифи билан чикиш;</w:t>
      </w:r>
    </w:p>
    <w:p w14:paraId="54D4C0F8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2.1.4 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 хизматлар учун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ўз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ловлар амалга оширилишини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3D477E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00FBC3C9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2.1.5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натижасида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592B9C1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2.1.6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бажарилишиии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8ED02BE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2.1.7 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хукуклар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8F32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уйидагиларга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0B8A8B5F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Ижарага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олинган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иншоотлар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озлардан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садли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илона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сак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носоз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келганда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таъмирлаши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шунингдек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коммунал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харажатларини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коплаши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D118098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2.2.2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Аутсорсинг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техника,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ин,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мухофазаси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санитария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коидалари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гигиена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нормативларига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катьий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037F33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Товар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етказилишини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1DBAED3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Махфийлик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катъий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риоя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23CEAE32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2.2.5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ого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лантир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ш,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тугагу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узлуксиз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э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таъминлаши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AFD69F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2.2.6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сифатли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ома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 1.3-ба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хажмда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6D6EC3D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2.2.7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жараёнида Аутсорсер мазкур шартнома шартларига амал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илмасдан, хизматлар сифатининг ёмонлашувига олиб келган барча камчиликларни Буюртмачининг талаби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бир кун давомида бепул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рилаши;</w:t>
      </w:r>
    </w:p>
    <w:p w14:paraId="2E31D340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2.2.8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Хизматларнинг сифатсизлиги, хизматларни бажариш учун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фойдаланишга бериладиган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ариш (хизмат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хон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алари холати, шунингдек, тегишли инвентарларнинг санитария коидаларига жавоб бермаслиги аникданганда, Аутсорсер зудлик билан Буюртмачининг аникланган камчиликларни бартараф этиш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конуний талабини бажариши;</w:t>
      </w:r>
    </w:p>
    <w:p w14:paraId="4882181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2.2.9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Малакали, тажрибали, куйилган вазифани (хизматни, ишни) амалга ошириш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ини берувчи тегишли хужжатлари мавжуд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лган, шунингдек, белгиланган тартибда ва муддатда тиббий текширувдан (к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рикдан)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тган ходимларга (талаб этилган холларда) хизматларни бажариш жараёнига рухсат эт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ши;</w:t>
      </w:r>
    </w:p>
    <w:p w14:paraId="41E2FC07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2.2.10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Ходимлар зиммасига Буюртмачининг худудида одоб-а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коидаларига, шунингдек, ички тартибга риоя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мажбуриятини юклаши;</w:t>
      </w:r>
    </w:p>
    <w:p w14:paraId="3BEB71EF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2.2.11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Хизмат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рсатиш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йича иш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ларни шахсан бажариши, мазкур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Шартнома шартларини бажаришни учинчи шахсга топширмаслиги;</w:t>
      </w:r>
    </w:p>
    <w:p w14:paraId="527EAC0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2.2.12 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 бажариш доирасида Буюртмачи томонидан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тинча фойдалан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шга топширилган ускуналар, жихозлар, идишлар, асбоблар, мебеллар,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соз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 са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6113B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аши, таъмирлаши, шунингдек, биноларни таъмирлаши;</w:t>
      </w:r>
    </w:p>
    <w:p w14:paraId="609B3A79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2.2.13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 имзолайдиган тегишли кабул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илиш-топшир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 далолатномасини расмийлаштирган холда, Буюртмачидан биноларни (хоналарни), ускуналарн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, жихозларни, асбобларни, мебелларни, инвентарлар ва бо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шқ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алар моддий воситаларни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абул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илиб олиши;</w:t>
      </w:r>
    </w:p>
    <w:p w14:paraId="3E1F264C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2.2.14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Мазкур шартномани бекор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 ха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ида Буюртмачини икки ой олдин ёзма равишда огох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антириши, ушбу муддат тугагунига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адар эса Буюртмачига хизматларни узлуксиз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рсатилишини таъминлаши;</w:t>
      </w:r>
    </w:p>
    <w:p w14:paraId="4C0D127E" w14:textId="77777777" w:rsid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 xml:space="preserve">2.2.15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шартномага асосан Хизматларни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рсатиш ишларига жалб этилган ходимларни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ўқитишни 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(малакасини оширишни) амалга ошириши (талаб этилган холларда);</w:t>
      </w:r>
    </w:p>
    <w:p w14:paraId="2C8B404B" w14:textId="77777777" w:rsidR="002F1269" w:rsidRPr="00A62F0F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  <w:t>2.2.16 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онун хужжатларига мувофик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A62F0F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мажбуриятлар.</w:t>
      </w:r>
    </w:p>
    <w:p w14:paraId="752E52E3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ab/>
        <w:t xml:space="preserve">2.3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Буюртмачи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уйидаги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қл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арга эга:</w:t>
      </w:r>
    </w:p>
    <w:p w14:paraId="0D2EBFE9" w14:textId="77777777" w:rsidR="002F1269" w:rsidRPr="00474346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2.3.1 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Товарлар (ишлар, хизматлар) сифатли ишлаб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арилиши (бажарилиши,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рсатилиши)ни талаб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илиш;</w:t>
      </w:r>
    </w:p>
    <w:p w14:paraId="5585016B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474346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фаолиятига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аралашмаган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бажарилишини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назорат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6A94536A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2.3.3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10 кун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огох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антириш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, бунда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хизматларнннг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5750F8C6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2.3.4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5864BA0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Буюртмачи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қуй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идагиларга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:</w:t>
      </w:r>
    </w:p>
    <w:p w14:paraId="2B410F7C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нархлар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79FBCE5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доирасида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биноларни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(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),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ускуналарни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жихозларни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асбобларни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мебелларни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инвентарлар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моддий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воситаларни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тинча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фойдалан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;</w:t>
      </w:r>
    </w:p>
    <w:p w14:paraId="4C2754E4" w14:textId="77777777" w:rsidR="002F1269" w:rsidRPr="002F1269" w:rsidRDefault="002F1269" w:rsidP="002F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2.4.3 Қо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хужжатларига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мувофик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BF089B8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5E017FB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III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1" w:name="bookmark0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нарх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ҳи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соб-китоблар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1"/>
      <w:proofErr w:type="spellEnd"/>
    </w:p>
    <w:p w14:paraId="3104E49B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23C2E1DB" w14:textId="24AE735E" w:rsidR="002F1269" w:rsidRPr="002F1269" w:rsidRDefault="00F928A7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3.1. Мазкур шартноманинг иловасига мувофиқ хизматлар нархи </w:t>
      </w:r>
      <w:r w:rsidRPr="00672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z-Cyrl-UZ" w:eastAsia="ru-RU"/>
        </w:rPr>
        <w:t>________________ сўм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 (</w:t>
      </w:r>
      <w:r w:rsidRPr="006723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uz-Cyrl-UZ" w:eastAsia="ru-RU"/>
        </w:rPr>
        <w:t>сумма сўз билан</w:t>
      </w:r>
      <w:r w:rsidRPr="0067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) сўмни ташкил этади.</w:t>
      </w:r>
      <w:r w:rsidR="002F1269">
        <w:rPr>
          <w:rFonts w:ascii="Times New Roman" w:eastAsia="Times New Roman" w:hAnsi="Times New Roman" w:cs="Times New Roman"/>
          <w:color w:val="323232"/>
          <w:sz w:val="20"/>
          <w:szCs w:val="20"/>
          <w:lang w:val="uz-Cyrl-UZ" w:eastAsia="ru-RU"/>
        </w:rPr>
        <w:t xml:space="preserve">                          </w:t>
      </w:r>
    </w:p>
    <w:p w14:paraId="065F565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.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Аутсорсер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заро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китоблар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ғ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далолатномаси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-фактура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асосида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киймати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ойда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марта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оширилади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28021E6" w14:textId="35F2D203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2.3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рсатиладига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хизматлар</w:t>
      </w:r>
      <w:proofErr w:type="spellEnd"/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ҳисоб-китоби шартнома ойлик суммасининг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30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миқдорида олдиндан, </w:t>
      </w:r>
      <w:r w:rsidR="00F928A7" w:rsidRPr="00F928A7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70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фоизи ҳақиқатда кўрсатилган хизматлар суммасидан келиб чиқиб ҳа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р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10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кунда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якуний ҳисоб-китоб эса кегинги ойнинг 5-санасига қадар амалга оширилади.</w:t>
      </w:r>
    </w:p>
    <w:p w14:paraId="58A1234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2.4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Буюртмачи томонидан амалда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рсатилган хизматлар нархи белгиланган тартибда расмийлаштирилган бажарилган ишлар далолатномаси ва хисоб-фактура олинган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тдан бошлаб, 10 банк куни давомида Шартномада белгиланган суммадан орти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;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лмага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дорда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ланади.</w:t>
      </w:r>
    </w:p>
    <w:p w14:paraId="38D474BA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2.5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Шартноманинг иловасида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рсатилган, шартноманинг прогноз суммасини хисоблаш учун хизматларнинг нархлари томонлардан бирининг ташаббуси билан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қа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йта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риб чи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илади.</w:t>
      </w:r>
    </w:p>
    <w:p w14:paraId="498ED40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076986FC" w14:textId="77777777" w:rsidR="002F1269" w:rsidRPr="00DF2A4D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  <w:t xml:space="preserve">IV 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Томонларнинг мажбур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DF2A4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ятлари</w:t>
      </w:r>
    </w:p>
    <w:p w14:paraId="766C34FB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</w:pPr>
    </w:p>
    <w:p w14:paraId="30396D4E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4.1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Аутсорсер шартнома мажбуриятларини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 ва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тида бажармаган холларда, Буюртмачига муддати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тказиб юборилган хар бир кун учун мажбуриятнинг бажарилмаган кисмининг 0,5 фоиз ми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дорида пеня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лайди, бунда пенянинг умумий суммаси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рсатилмаган хизматлар ойлик нархининг 50 фоизидан ошмаслиги керак.</w:t>
      </w:r>
    </w:p>
    <w:p w14:paraId="2623275F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4.2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Пеня (жарима)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лаш Томонларнинг зиммасидаги мажбуриятларини бажаришдан ёки бузилишларни бартараф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илишдан озод этмайди.</w:t>
      </w:r>
    </w:p>
    <w:p w14:paraId="2DAA3FC7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lastRenderedPageBreak/>
        <w:t xml:space="preserve">4.3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Мазкур Шартнома шартларининг бажарилмаслиги ёки тегишли даражада бажарилмаслиги учу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 Томонлар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одекси талабларида, «Х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жалик юритувчи субъектлар фаолиятининг шартномавий-ху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базаси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ўғ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рисида»ги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збекистон Республикаси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Қо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нуни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амда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Республикасининг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а норматив- ху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ий хужжатларида назарда тутилган жавобгар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ладилар.</w:t>
      </w:r>
    </w:p>
    <w:p w14:paraId="775D8E14" w14:textId="77777777" w:rsidR="002F1269" w:rsidRPr="00DF2A4D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4.4 Буюртмачига хар чоракда бир маротаба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рсатилаётган хизматларнинг сифати, ижарага берилган бино ва иншоотларнинг холати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и мониторинг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тказишга (аутсорсернинг молиявий фаолиятига аралашмаган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олда) шароитлар яратиш.</w:t>
      </w:r>
    </w:p>
    <w:p w14:paraId="5B209ED5" w14:textId="77777777" w:rsid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4.5 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Томонларнинг Мазкур Шартномада назарда тутилмаган жавобгарлик чоралари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збекистон Республикаси худудида амалда булган фу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DF2A4D"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аролик конунчилиги нормаларига мувофик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қўлланилади.</w:t>
      </w:r>
    </w:p>
    <w:p w14:paraId="0D7A3E1A" w14:textId="77777777" w:rsidR="002F1269" w:rsidRPr="00DF2A4D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uz-Cyrl-UZ" w:eastAsia="ru-RU"/>
        </w:rPr>
      </w:pPr>
    </w:p>
    <w:p w14:paraId="25AD346D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bookmarkStart w:id="2" w:name="bookmark1"/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озарали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вазиятларнн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этиш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тартиби</w:t>
      </w:r>
      <w:bookmarkEnd w:id="2"/>
      <w:proofErr w:type="spellEnd"/>
    </w:p>
    <w:p w14:paraId="00C1104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99AC6CB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юзага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имкон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11C92068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5.2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Низолар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ртасида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музокара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тказиш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билан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лмайд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назарда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тутилган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келишмовчиликларни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бартараф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б-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таомили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рилгандан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збекистон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Республикаси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онунчилигида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белгиланган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тартибда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судга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6BECFFC5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7E1D23C8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Форс-мажор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колатлар</w:t>
      </w:r>
      <w:proofErr w:type="spellEnd"/>
    </w:p>
    <w:p w14:paraId="3EF2B7F4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0087CEB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6.1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кисман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лик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бажарилмаганлиги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учун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агар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бундай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енгиб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куч,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яъни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офатлар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табиий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техноген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тусдаг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фав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улодда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олатлар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ало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окибати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давлатн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тегишли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органлари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тасди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ланса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жавобгарликдан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озод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илинади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Бунда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бажариш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мутаносиб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равишда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ушбу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ходисалар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й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сурилади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751198A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</w:pPr>
    </w:p>
    <w:p w14:paraId="3F1ACAB0" w14:textId="77777777" w:rsidR="002F1269" w:rsidRPr="002F1269" w:rsidRDefault="002F1269" w:rsidP="002F1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VII</w:t>
      </w:r>
      <w:r w:rsidRPr="002F1269">
        <w:rPr>
          <w:rFonts w:ascii="Times New Roman" w:eastAsia="Times New Roman" w:hAnsi="Times New Roman" w:cs="Times New Roman"/>
          <w:b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Якунловчи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коидалар</w:t>
      </w:r>
      <w:proofErr w:type="spellEnd"/>
    </w:p>
    <w:p w14:paraId="01DE9CFB" w14:textId="77777777" w:rsidR="002F1269" w:rsidRPr="002F1269" w:rsidRDefault="002F1269" w:rsidP="002F12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5438F0E5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7.1 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кандай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згартириш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шимчалар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фа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ат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улар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расмийлаштирилиб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ваколатли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вакиллари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ий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исобланади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барча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иловалари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ажралмас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исмин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ташкил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этади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77E6560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7.2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ҳ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еч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йича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мажбуриятларини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бош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ёзма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шаклдаги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розилигис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з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учинчи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бериб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юбориши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мумкин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эмас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3703D8BC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7.3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тузилган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Иккала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айнан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либ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,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хил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к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эга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.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х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ар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мазкур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нусхаси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ў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299E7B5E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3FEF7B2C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VIII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Шартноманинг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килиш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муддати</w:t>
      </w:r>
      <w:proofErr w:type="spellEnd"/>
    </w:p>
    <w:p w14:paraId="61551F66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9A272C9" w14:textId="77777777" w:rsidR="002F1269" w:rsidRPr="002F1269" w:rsidRDefault="002F1269" w:rsidP="002F1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 xml:space="preserve">8.1 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Ушбу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Шартнома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имзоланган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пайтдан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кучга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киради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бир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календарь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йили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давомида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ёки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муддатидан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олдин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бекор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ил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нгу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ига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val="uz-Cyrl-UZ" w:eastAsia="ru-RU"/>
        </w:rPr>
        <w:t>қ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адар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амал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килади</w:t>
      </w:r>
      <w:proofErr w:type="spellEnd"/>
      <w:r w:rsidRPr="002F1269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</w:t>
      </w:r>
    </w:p>
    <w:p w14:paraId="081A3D9F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</w:p>
    <w:p w14:paraId="71BAC3DE" w14:textId="77777777" w:rsidR="002F1269" w:rsidRPr="002F1269" w:rsidRDefault="002F1269" w:rsidP="002F1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</w:pPr>
      <w:r w:rsidRPr="003F269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IX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Томонларнинг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н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ва</w:t>
      </w:r>
      <w:proofErr w:type="spellEnd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 xml:space="preserve"> банк 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рекв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uz-Cyrl-UZ" w:eastAsia="ru-RU"/>
        </w:rPr>
        <w:t>и</w:t>
      </w:r>
      <w:proofErr w:type="spellStart"/>
      <w:r w:rsidRPr="002F126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val="ru-RU" w:eastAsia="ru-RU"/>
        </w:rPr>
        <w:t>тларн</w:t>
      </w:r>
      <w:proofErr w:type="spellEnd"/>
    </w:p>
    <w:p w14:paraId="24F903F3" w14:textId="77777777" w:rsidR="002F1269" w:rsidRPr="002F1269" w:rsidRDefault="002F1269" w:rsidP="002F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0070" w:type="dxa"/>
        <w:tblInd w:w="-152" w:type="dxa"/>
        <w:tblLook w:val="04A0" w:firstRow="1" w:lastRow="0" w:firstColumn="1" w:lastColumn="0" w:noHBand="0" w:noVBand="1"/>
      </w:tblPr>
      <w:tblGrid>
        <w:gridCol w:w="4962"/>
        <w:gridCol w:w="5108"/>
      </w:tblGrid>
      <w:tr w:rsidR="00F928A7" w:rsidRPr="0067235E" w14:paraId="753AE718" w14:textId="77777777" w:rsidTr="007F0B7D">
        <w:tc>
          <w:tcPr>
            <w:tcW w:w="4962" w:type="dxa"/>
          </w:tcPr>
          <w:p w14:paraId="5C738143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“Аутсорсер”</w:t>
            </w:r>
          </w:p>
        </w:tc>
        <w:tc>
          <w:tcPr>
            <w:tcW w:w="5108" w:type="dxa"/>
          </w:tcPr>
          <w:p w14:paraId="5632C84C" w14:textId="77777777" w:rsidR="00F928A7" w:rsidRPr="0067235E" w:rsidRDefault="00F928A7" w:rsidP="007F0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“Буюртмачи”</w:t>
            </w:r>
          </w:p>
        </w:tc>
      </w:tr>
      <w:tr w:rsidR="00F928A7" w:rsidRPr="006A5364" w14:paraId="1E1543A1" w14:textId="77777777" w:rsidTr="007F0B7D">
        <w:tc>
          <w:tcPr>
            <w:tcW w:w="4962" w:type="dxa"/>
          </w:tcPr>
          <w:p w14:paraId="6FC07B9A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____________________________________</w:t>
            </w:r>
          </w:p>
          <w:p w14:paraId="4652B4C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Манзил:_____________________________</w:t>
            </w:r>
          </w:p>
          <w:p w14:paraId="6DED736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Х/Р:________________________________</w:t>
            </w:r>
          </w:p>
          <w:p w14:paraId="4970489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Банк:_______________________________</w:t>
            </w:r>
          </w:p>
          <w:p w14:paraId="739CFE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___________     ИНН:___________</w:t>
            </w:r>
          </w:p>
          <w:p w14:paraId="68DA73D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1F9A0473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Рахбар: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 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_____________</w:t>
            </w:r>
          </w:p>
        </w:tc>
        <w:tc>
          <w:tcPr>
            <w:tcW w:w="5108" w:type="dxa"/>
          </w:tcPr>
          <w:p w14:paraId="72A97C5A" w14:textId="3ED397D9" w:rsidR="00F928A7" w:rsidRPr="00224AA5" w:rsidRDefault="000B7DAF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Андижон вилоят Фтизиатрия ва пульмонология маркази</w:t>
            </w:r>
          </w:p>
          <w:p w14:paraId="6B147AF5" w14:textId="5C4C2D9A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Андижон вилояти </w:t>
            </w:r>
            <w:r w:rsid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Асака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туман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янгисор</w:t>
            </w:r>
            <w:r w:rsidRPr="00A56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кўчаси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0B7D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345</w:t>
            </w:r>
            <w:r w:rsidR="00224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уй</w:t>
            </w: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</w:p>
          <w:p w14:paraId="0BBE095C" w14:textId="25CC0AB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Шх/р: </w:t>
            </w:r>
            <w:r w:rsidR="001A77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400321860032247073201054001</w:t>
            </w:r>
          </w:p>
          <w:p w14:paraId="1479C7B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Ўзб. Республикаси Молия вазирлиги</w:t>
            </w:r>
          </w:p>
          <w:p w14:paraId="1EF09C24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х/р: 2340200300100001010</w:t>
            </w:r>
          </w:p>
          <w:p w14:paraId="0FA2DBEF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Марказий банк Тошкент шаҳар бош бошқармаси </w:t>
            </w:r>
          </w:p>
          <w:p w14:paraId="75DC24E8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МФО: 00014                ИНН: 201122919</w:t>
            </w:r>
          </w:p>
          <w:p w14:paraId="1980C441" w14:textId="77777777" w:rsidR="00F928A7" w:rsidRPr="0067235E" w:rsidRDefault="00F928A7" w:rsidP="007F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</w:p>
          <w:p w14:paraId="7BF5C1B5" w14:textId="7B4B92E6" w:rsidR="00F928A7" w:rsidRPr="0067235E" w:rsidRDefault="007E01C1" w:rsidP="009D5189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шифокор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:</w:t>
            </w:r>
            <w:r w:rsidR="009D5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</w:t>
            </w:r>
            <w:r w:rsidR="00F928A7" w:rsidRPr="006723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_________     </w:t>
            </w:r>
            <w:r w:rsidR="009D5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Ф</w:t>
            </w:r>
            <w:r w:rsidR="00F928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.</w:t>
            </w:r>
            <w:r w:rsidR="009D51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Насритдинов</w:t>
            </w:r>
          </w:p>
        </w:tc>
      </w:tr>
    </w:tbl>
    <w:p w14:paraId="00195520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369EA" w14:textId="77777777" w:rsidR="002F1269" w:rsidRPr="007E01C1" w:rsidRDefault="002F1269" w:rsidP="002F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D2B538" w14:textId="77777777" w:rsidR="002F1269" w:rsidRPr="007E01C1" w:rsidRDefault="002F1269" w:rsidP="002F126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AFE80A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B6576B0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3E871A7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00F7A4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CD407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D2471C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A2E127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548684F1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47A6F02F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6A5924B9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78E2AB64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p w14:paraId="2AD60188" w14:textId="77777777" w:rsidR="002F1269" w:rsidRPr="007E01C1" w:rsidRDefault="002F1269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z-Cyrl-UZ"/>
        </w:rPr>
      </w:pPr>
    </w:p>
    <w:bookmarkEnd w:id="0"/>
    <w:tbl>
      <w:tblPr>
        <w:tblpPr w:leftFromText="180" w:rightFromText="180" w:horzAnchor="margin" w:tblpXSpec="center" w:tblpY="-467"/>
        <w:tblW w:w="10940" w:type="dxa"/>
        <w:tblLook w:val="04A0" w:firstRow="1" w:lastRow="0" w:firstColumn="1" w:lastColumn="0" w:noHBand="0" w:noVBand="1"/>
      </w:tblPr>
      <w:tblGrid>
        <w:gridCol w:w="885"/>
        <w:gridCol w:w="1136"/>
        <w:gridCol w:w="1122"/>
        <w:gridCol w:w="1274"/>
        <w:gridCol w:w="1349"/>
        <w:gridCol w:w="1415"/>
        <w:gridCol w:w="1322"/>
        <w:gridCol w:w="1131"/>
        <w:gridCol w:w="1306"/>
      </w:tblGrid>
      <w:tr w:rsidR="002F1269" w:rsidRPr="002F1269" w14:paraId="69E7F847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BE5D" w14:textId="77777777" w:rsidR="002F1269" w:rsidRPr="007E01C1" w:rsidRDefault="002F1269" w:rsidP="002F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C117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57E4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72B5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263" w14:textId="77777777" w:rsidR="002F1269" w:rsidRPr="007E01C1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FABD" w14:textId="06A41EEF" w:rsidR="002F1269" w:rsidRPr="002F1269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"_____"_________202</w:t>
            </w:r>
            <w:r w:rsidR="00A04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йил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кунги</w:t>
            </w:r>
            <w:proofErr w:type="spellEnd"/>
          </w:p>
        </w:tc>
      </w:tr>
      <w:tr w:rsidR="002F1269" w:rsidRPr="002F1269" w14:paraId="7FF0AB8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B0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8A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334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D89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89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925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сонли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шартномага</w:t>
            </w:r>
            <w:proofErr w:type="spellEnd"/>
          </w:p>
        </w:tc>
      </w:tr>
      <w:tr w:rsidR="002F1269" w:rsidRPr="002F1269" w14:paraId="04A3CA95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7F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8A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11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C7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DD6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7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илова</w:t>
            </w:r>
            <w:proofErr w:type="spellEnd"/>
            <w:proofErr w:type="gramEnd"/>
          </w:p>
        </w:tc>
      </w:tr>
      <w:tr w:rsidR="002F1269" w:rsidRPr="002F1269" w14:paraId="0DDCDE35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5E5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04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8DA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654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91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36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016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C310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94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0FCEDA93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426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A7F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55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E29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64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C5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7CAB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3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0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6510E1EB" w14:textId="77777777" w:rsidTr="002F1269">
        <w:trPr>
          <w:trHeight w:val="37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EE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прогноз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суммаси</w:t>
            </w:r>
            <w:proofErr w:type="spellEnd"/>
          </w:p>
        </w:tc>
      </w:tr>
      <w:tr w:rsidR="002F1269" w:rsidRPr="002F1269" w14:paraId="6652BA16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19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19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0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8BC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3E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7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D27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278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291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279D81C0" w14:textId="77777777" w:rsidTr="00A04DC8">
        <w:trPr>
          <w:trHeight w:val="11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09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D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ойлар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ойдаги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кунлар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сони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D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ўлчов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68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бирлиги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учун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нарх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0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бирлик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-лари сони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72A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ҚҚС сиз (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сўм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F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ҚҚС ____%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19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сумма ҚҚС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билан</w:t>
            </w:r>
            <w:proofErr w:type="spellEnd"/>
          </w:p>
        </w:tc>
      </w:tr>
      <w:tr w:rsidR="002F1269" w:rsidRPr="002F1269" w14:paraId="78656060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F7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0D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Январ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2F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482" w14:textId="60BB4F8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610" w14:textId="60C42B3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0CD" w14:textId="07D0652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BEA" w14:textId="6A5BFC1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F68" w14:textId="33DEDCF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4100095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A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6C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Феврал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3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DC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D2A" w14:textId="73DA615A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DA" w14:textId="030F0FB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2EE" w14:textId="7FDAAC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737" w14:textId="0F74688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7240" w14:textId="19814658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F09413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33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37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82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03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E72" w14:textId="798D2806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6AF" w14:textId="00D153EC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550D" w14:textId="744E74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A684" w14:textId="6EA613B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B24" w14:textId="1BD5A84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55FD934A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C5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C9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Апрел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21E" w14:textId="1E66213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849" w14:textId="710ADC5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9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09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F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7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0BE7383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2C5" w14:textId="4BC8DE9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7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BB" w14:textId="65A114F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35B" w14:textId="1F7E53C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9C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A7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2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A6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1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5089E90C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03" w14:textId="7517A19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3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Июн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372" w14:textId="6FADCBED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12" w14:textId="1FA91B6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7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E3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5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CE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C0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24ED7E2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9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5C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Июл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CEA" w14:textId="169F03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1B7" w14:textId="5D53277B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8F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D1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A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6C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44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70C7C1A6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7E3" w14:textId="1DE0E98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7E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6A4" w14:textId="6D581163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8FB" w14:textId="5F9B7252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2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311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6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3D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792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0A709C68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56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3F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Сентябр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59F" w14:textId="669FE2A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322" w14:textId="13C5A799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84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B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1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3C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52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6D62742E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B5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2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2A" w14:textId="1EC6D2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176" w14:textId="4EF3EF8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DF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6F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A66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22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808EBB4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8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41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Ноябр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66B" w14:textId="4C8623F5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55" w14:textId="24E22E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A4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C3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2B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D7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8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29F78097" w14:textId="77777777" w:rsidTr="002F1269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0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13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Декабр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631" w14:textId="511E5554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886" w14:textId="4FEAF5D1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хизмат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кўрсатиш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4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D0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68B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38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BB8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2F1269" w:rsidRPr="002F1269" w14:paraId="10754925" w14:textId="77777777" w:rsidTr="002F1269">
        <w:trPr>
          <w:trHeight w:val="84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651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Шартноманинг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жами</w:t>
            </w:r>
            <w:proofErr w:type="spellEnd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суммаси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383" w14:textId="03E5287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A5F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9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C3A6" w14:textId="6420C2AE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D3D" w14:textId="4E2E5FD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9C4" w14:textId="435FD2FF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0AA" w14:textId="094F5440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F1269" w:rsidRPr="002F1269" w14:paraId="0DA5A6F9" w14:textId="77777777" w:rsidTr="002F1269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CCA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30EA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44A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2EC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A69D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D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C3A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0F9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09B7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77143123" w14:textId="77777777" w:rsidTr="0095590B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4AB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1B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69F0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F79CE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9865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3C40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B29E9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38E23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9AEC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1269" w:rsidRPr="002F1269" w14:paraId="121D1BDA" w14:textId="77777777" w:rsidTr="002F1269">
        <w:trPr>
          <w:trHeight w:val="6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1103" w14:textId="6AF86BA2" w:rsidR="002F1269" w:rsidRPr="00E7088B" w:rsidRDefault="00E7088B" w:rsidP="00E708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B7DAF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val="uz-Cyrl-UZ" w:eastAsia="ru-RU"/>
              </w:rPr>
              <w:t>Андижон вилоят Фтизиатрия ва пульмонология маркази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F54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67D2" w14:textId="77777777" w:rsidR="002F1269" w:rsidRPr="002F1269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C6DE" w14:textId="3136447E" w:rsidR="002F1269" w:rsidRPr="00A04DC8" w:rsidRDefault="00A04DC8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2F1269" w:rsidRPr="002F1269" w14:paraId="2EB85CD9" w14:textId="77777777" w:rsidTr="002F1269">
        <w:trPr>
          <w:trHeight w:val="315"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2E93" w14:textId="5A9A1E8F" w:rsidR="002F1269" w:rsidRPr="00A04DC8" w:rsidRDefault="002F1269" w:rsidP="00E7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бош</w:t>
            </w:r>
            <w:proofErr w:type="gramEnd"/>
            <w:r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шифокори</w:t>
            </w:r>
            <w:proofErr w:type="spellEnd"/>
            <w:r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</w:t>
            </w:r>
            <w:bookmarkStart w:id="3" w:name="_GoBack"/>
            <w:bookmarkEnd w:id="3"/>
            <w:proofErr w:type="spellStart"/>
            <w:r w:rsidR="00E7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="00A04DC8" w:rsidRP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E7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Насритдинов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6F9C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5B9D" w14:textId="77777777" w:rsidR="002F1269" w:rsidRPr="00A04DC8" w:rsidRDefault="002F1269" w:rsidP="002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E5965" w14:textId="42912233" w:rsidR="002F1269" w:rsidRPr="00A04DC8" w:rsidRDefault="002F1269" w:rsidP="00A0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рахбари</w:t>
            </w:r>
            <w:proofErr w:type="spellEnd"/>
            <w:proofErr w:type="gramEnd"/>
            <w:r w:rsidRPr="002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___________</w:t>
            </w:r>
            <w:r w:rsidR="00A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</w:p>
        </w:tc>
      </w:tr>
    </w:tbl>
    <w:p w14:paraId="79BA30A7" w14:textId="76E97392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503A072" w14:textId="272F31B9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89346DE" w14:textId="2512A97D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7FCD708" w14:textId="19D237B5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0AFE083" w14:textId="6644DF8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40F584" w14:textId="0617CC3B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5A02AFE6" w14:textId="3422FAC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CFC41B2" w14:textId="34711E7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2AB4632" w14:textId="2FB0F37C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3279B7AF" w14:textId="02889409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CA3E07B" w14:textId="45E7A5E7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62D469E1" w14:textId="09EECA36" w:rsidR="00E5623C" w:rsidRDefault="00E5623C" w:rsidP="008C7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sectPr w:rsidR="00E5623C" w:rsidSect="0095590B">
      <w:pgSz w:w="12240" w:h="15840"/>
      <w:pgMar w:top="709" w:right="758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3AB"/>
    <w:multiLevelType w:val="hybridMultilevel"/>
    <w:tmpl w:val="230A9F3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391"/>
    <w:multiLevelType w:val="hybridMultilevel"/>
    <w:tmpl w:val="D97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14"/>
    <w:multiLevelType w:val="hybridMultilevel"/>
    <w:tmpl w:val="A2CE45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F765F4"/>
    <w:multiLevelType w:val="hybridMultilevel"/>
    <w:tmpl w:val="5226D750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0563"/>
    <w:multiLevelType w:val="hybridMultilevel"/>
    <w:tmpl w:val="A24C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893079"/>
    <w:multiLevelType w:val="hybridMultilevel"/>
    <w:tmpl w:val="B546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3518F0"/>
    <w:multiLevelType w:val="hybridMultilevel"/>
    <w:tmpl w:val="F4121EFA"/>
    <w:lvl w:ilvl="0" w:tplc="C7BACA90">
      <w:start w:val="4"/>
      <w:numFmt w:val="decimal"/>
      <w:lvlText w:val="%1."/>
      <w:lvlJc w:val="left"/>
      <w:pPr>
        <w:ind w:left="928" w:hanging="360"/>
      </w:pPr>
      <w:rPr>
        <w:b/>
      </w:rPr>
    </w:lvl>
    <w:lvl w:ilvl="1" w:tplc="5B681A3C">
      <w:start w:val="2"/>
      <w:numFmt w:val="decimal"/>
      <w:lvlText w:val="4.%2."/>
      <w:lvlJc w:val="left"/>
      <w:pPr>
        <w:ind w:left="1800" w:hanging="360"/>
      </w:pPr>
    </w:lvl>
    <w:lvl w:ilvl="2" w:tplc="C72EDE32">
      <w:start w:val="1"/>
      <w:numFmt w:val="decimal"/>
      <w:lvlText w:val="4.4.%3."/>
      <w:lvlJc w:val="left"/>
      <w:pPr>
        <w:ind w:left="2520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B3AF4"/>
    <w:multiLevelType w:val="hybridMultilevel"/>
    <w:tmpl w:val="E0EAF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E61E13"/>
    <w:multiLevelType w:val="hybridMultilevel"/>
    <w:tmpl w:val="21DEBFF6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AF8"/>
    <w:multiLevelType w:val="hybridMultilevel"/>
    <w:tmpl w:val="83DC2D04"/>
    <w:lvl w:ilvl="0" w:tplc="8B76AB4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BC7F420"/>
    <w:multiLevelType w:val="multilevel"/>
    <w:tmpl w:val="AFB401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360FF"/>
    <w:multiLevelType w:val="hybridMultilevel"/>
    <w:tmpl w:val="723CD560"/>
    <w:lvl w:ilvl="0" w:tplc="560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B5FBA"/>
    <w:multiLevelType w:val="hybridMultilevel"/>
    <w:tmpl w:val="E6C24A84"/>
    <w:lvl w:ilvl="0" w:tplc="957EAC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52311C"/>
    <w:multiLevelType w:val="hybridMultilevel"/>
    <w:tmpl w:val="783AD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5E534EB"/>
    <w:multiLevelType w:val="hybridMultilevel"/>
    <w:tmpl w:val="E4BA6B7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A181C"/>
    <w:multiLevelType w:val="hybridMultilevel"/>
    <w:tmpl w:val="7BAC0DA0"/>
    <w:lvl w:ilvl="0" w:tplc="9E3C02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DF82F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379C7"/>
    <w:multiLevelType w:val="hybridMultilevel"/>
    <w:tmpl w:val="4C1AD738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C68FE"/>
    <w:multiLevelType w:val="hybridMultilevel"/>
    <w:tmpl w:val="3AFAD2B8"/>
    <w:lvl w:ilvl="0" w:tplc="89809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7036F"/>
    <w:multiLevelType w:val="multilevel"/>
    <w:tmpl w:val="EF1CB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913A44"/>
    <w:multiLevelType w:val="multilevel"/>
    <w:tmpl w:val="44F0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-2-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-3-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59607BA3"/>
    <w:multiLevelType w:val="hybridMultilevel"/>
    <w:tmpl w:val="F6EC4F8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3735A4"/>
    <w:multiLevelType w:val="hybridMultilevel"/>
    <w:tmpl w:val="4066E682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139DF"/>
    <w:multiLevelType w:val="multilevel"/>
    <w:tmpl w:val="4F7E28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EE94F10"/>
    <w:multiLevelType w:val="hybridMultilevel"/>
    <w:tmpl w:val="DD1AC91A"/>
    <w:lvl w:ilvl="0" w:tplc="8808434A">
      <w:start w:val="1"/>
      <w:numFmt w:val="bullet"/>
      <w:lvlText w:val="‣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C412C"/>
    <w:multiLevelType w:val="hybridMultilevel"/>
    <w:tmpl w:val="ED1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633269"/>
    <w:multiLevelType w:val="hybridMultilevel"/>
    <w:tmpl w:val="344EF9F6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F5121"/>
    <w:multiLevelType w:val="multilevel"/>
    <w:tmpl w:val="607E1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6AC30AD"/>
    <w:multiLevelType w:val="hybridMultilevel"/>
    <w:tmpl w:val="F6F0194C"/>
    <w:lvl w:ilvl="0" w:tplc="EEB2BCD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67C25955"/>
    <w:multiLevelType w:val="hybridMultilevel"/>
    <w:tmpl w:val="C87E2858"/>
    <w:lvl w:ilvl="0" w:tplc="8B76AB40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259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EBAA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652C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DD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09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4BB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B4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9E7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280176"/>
    <w:multiLevelType w:val="hybridMultilevel"/>
    <w:tmpl w:val="452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71618"/>
    <w:multiLevelType w:val="hybridMultilevel"/>
    <w:tmpl w:val="50FE9F8C"/>
    <w:lvl w:ilvl="0" w:tplc="53E8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E1032"/>
    <w:multiLevelType w:val="hybridMultilevel"/>
    <w:tmpl w:val="11F42326"/>
    <w:lvl w:ilvl="0" w:tplc="8B76AB4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6E4636EF"/>
    <w:multiLevelType w:val="hybridMultilevel"/>
    <w:tmpl w:val="3ADA32AA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F2DC5"/>
    <w:multiLevelType w:val="hybridMultilevel"/>
    <w:tmpl w:val="1626F098"/>
    <w:lvl w:ilvl="0" w:tplc="412EF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B7C0E"/>
    <w:multiLevelType w:val="hybridMultilevel"/>
    <w:tmpl w:val="0D78EF48"/>
    <w:lvl w:ilvl="0" w:tplc="29AC1158">
      <w:start w:val="1"/>
      <w:numFmt w:val="bullet"/>
      <w:lvlText w:val=""/>
      <w:lvlJc w:val="left"/>
      <w:pPr>
        <w:tabs>
          <w:tab w:val="num" w:pos="-141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AEB8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37154"/>
    <w:multiLevelType w:val="hybridMultilevel"/>
    <w:tmpl w:val="E88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C2E54"/>
    <w:multiLevelType w:val="multilevel"/>
    <w:tmpl w:val="A9C6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78EB2416"/>
    <w:multiLevelType w:val="hybridMultilevel"/>
    <w:tmpl w:val="02164D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D53331E"/>
    <w:multiLevelType w:val="hybridMultilevel"/>
    <w:tmpl w:val="39723684"/>
    <w:lvl w:ilvl="0" w:tplc="E45AD522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E0D1D9A"/>
    <w:multiLevelType w:val="multilevel"/>
    <w:tmpl w:val="B298F8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7"/>
  </w:num>
  <w:num w:numId="5">
    <w:abstractNumId w:val="13"/>
  </w:num>
  <w:num w:numId="6">
    <w:abstractNumId w:val="4"/>
  </w:num>
  <w:num w:numId="7">
    <w:abstractNumId w:val="10"/>
  </w:num>
  <w:num w:numId="8">
    <w:abstractNumId w:val="35"/>
  </w:num>
  <w:num w:numId="9">
    <w:abstractNumId w:val="5"/>
  </w:num>
  <w:num w:numId="10">
    <w:abstractNumId w:val="11"/>
  </w:num>
  <w:num w:numId="11">
    <w:abstractNumId w:val="31"/>
  </w:num>
  <w:num w:numId="12">
    <w:abstractNumId w:val="22"/>
  </w:num>
  <w:num w:numId="13">
    <w:abstractNumId w:val="20"/>
  </w:num>
  <w:num w:numId="14">
    <w:abstractNumId w:val="7"/>
  </w:num>
  <w:num w:numId="15">
    <w:abstractNumId w:val="32"/>
  </w:num>
  <w:num w:numId="16">
    <w:abstractNumId w:val="16"/>
  </w:num>
  <w:num w:numId="17">
    <w:abstractNumId w:val="19"/>
  </w:num>
  <w:num w:numId="18">
    <w:abstractNumId w:val="24"/>
  </w:num>
  <w:num w:numId="19">
    <w:abstractNumId w:val="41"/>
  </w:num>
  <w:num w:numId="20">
    <w:abstractNumId w:val="39"/>
  </w:num>
  <w:num w:numId="2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40"/>
  </w:num>
  <w:num w:numId="27">
    <w:abstractNumId w:val="36"/>
  </w:num>
  <w:num w:numId="28">
    <w:abstractNumId w:val="9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3"/>
  </w:num>
  <w:num w:numId="33">
    <w:abstractNumId w:val="0"/>
  </w:num>
  <w:num w:numId="34">
    <w:abstractNumId w:val="25"/>
  </w:num>
  <w:num w:numId="35">
    <w:abstractNumId w:val="38"/>
  </w:num>
  <w:num w:numId="36">
    <w:abstractNumId w:val="3"/>
  </w:num>
  <w:num w:numId="37">
    <w:abstractNumId w:val="6"/>
  </w:num>
  <w:num w:numId="38">
    <w:abstractNumId w:val="14"/>
  </w:num>
  <w:num w:numId="39">
    <w:abstractNumId w:val="42"/>
  </w:num>
  <w:num w:numId="40">
    <w:abstractNumId w:val="3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8"/>
  </w:num>
  <w:num w:numId="43">
    <w:abstractNumId w:val="3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D"/>
    <w:rsid w:val="00000B90"/>
    <w:rsid w:val="000036D4"/>
    <w:rsid w:val="00010512"/>
    <w:rsid w:val="000144A8"/>
    <w:rsid w:val="000164E7"/>
    <w:rsid w:val="00021DBB"/>
    <w:rsid w:val="00025977"/>
    <w:rsid w:val="00033483"/>
    <w:rsid w:val="00033571"/>
    <w:rsid w:val="0003492E"/>
    <w:rsid w:val="00040A98"/>
    <w:rsid w:val="00040EB7"/>
    <w:rsid w:val="00041DEE"/>
    <w:rsid w:val="00045F76"/>
    <w:rsid w:val="0005184D"/>
    <w:rsid w:val="0005388C"/>
    <w:rsid w:val="0005428D"/>
    <w:rsid w:val="00054AB7"/>
    <w:rsid w:val="00054D77"/>
    <w:rsid w:val="0006661C"/>
    <w:rsid w:val="00072012"/>
    <w:rsid w:val="00072B22"/>
    <w:rsid w:val="00072CEE"/>
    <w:rsid w:val="00077F2F"/>
    <w:rsid w:val="00080960"/>
    <w:rsid w:val="000838AE"/>
    <w:rsid w:val="00091AF5"/>
    <w:rsid w:val="00093D31"/>
    <w:rsid w:val="0009430C"/>
    <w:rsid w:val="000954CB"/>
    <w:rsid w:val="000954DA"/>
    <w:rsid w:val="000A038F"/>
    <w:rsid w:val="000A1C1C"/>
    <w:rsid w:val="000A22D8"/>
    <w:rsid w:val="000B4064"/>
    <w:rsid w:val="000B6006"/>
    <w:rsid w:val="000B68CD"/>
    <w:rsid w:val="000B7DAF"/>
    <w:rsid w:val="000C25B4"/>
    <w:rsid w:val="000C5F44"/>
    <w:rsid w:val="000D0F05"/>
    <w:rsid w:val="000D4DE4"/>
    <w:rsid w:val="000D4F82"/>
    <w:rsid w:val="000D7F2E"/>
    <w:rsid w:val="000E3F86"/>
    <w:rsid w:val="000E418D"/>
    <w:rsid w:val="000E546B"/>
    <w:rsid w:val="000E79F2"/>
    <w:rsid w:val="000E7A5A"/>
    <w:rsid w:val="000F1B96"/>
    <w:rsid w:val="000F2912"/>
    <w:rsid w:val="00106FD8"/>
    <w:rsid w:val="00113715"/>
    <w:rsid w:val="00114F1A"/>
    <w:rsid w:val="00117C70"/>
    <w:rsid w:val="00124D7F"/>
    <w:rsid w:val="00127583"/>
    <w:rsid w:val="00127717"/>
    <w:rsid w:val="00133A78"/>
    <w:rsid w:val="0014554D"/>
    <w:rsid w:val="00151777"/>
    <w:rsid w:val="0015200C"/>
    <w:rsid w:val="0015532D"/>
    <w:rsid w:val="001559BF"/>
    <w:rsid w:val="001651B6"/>
    <w:rsid w:val="00165FE0"/>
    <w:rsid w:val="00175CD5"/>
    <w:rsid w:val="00177DAE"/>
    <w:rsid w:val="00181145"/>
    <w:rsid w:val="001831DC"/>
    <w:rsid w:val="001856B8"/>
    <w:rsid w:val="00191A27"/>
    <w:rsid w:val="00194220"/>
    <w:rsid w:val="00194C76"/>
    <w:rsid w:val="001A7735"/>
    <w:rsid w:val="001B125D"/>
    <w:rsid w:val="001B352E"/>
    <w:rsid w:val="001B40EF"/>
    <w:rsid w:val="001B5BF0"/>
    <w:rsid w:val="001B75E4"/>
    <w:rsid w:val="001C06C0"/>
    <w:rsid w:val="001C1FD9"/>
    <w:rsid w:val="001D4658"/>
    <w:rsid w:val="001D557B"/>
    <w:rsid w:val="001D5D0B"/>
    <w:rsid w:val="001D76CA"/>
    <w:rsid w:val="001F2879"/>
    <w:rsid w:val="001F2C21"/>
    <w:rsid w:val="001F39FF"/>
    <w:rsid w:val="001F76F3"/>
    <w:rsid w:val="001F776C"/>
    <w:rsid w:val="001F7855"/>
    <w:rsid w:val="002011E2"/>
    <w:rsid w:val="00205099"/>
    <w:rsid w:val="002106C6"/>
    <w:rsid w:val="00212ADA"/>
    <w:rsid w:val="002146EE"/>
    <w:rsid w:val="00224AA5"/>
    <w:rsid w:val="002251C4"/>
    <w:rsid w:val="00232472"/>
    <w:rsid w:val="00232B13"/>
    <w:rsid w:val="00232FD3"/>
    <w:rsid w:val="00243F44"/>
    <w:rsid w:val="002542C5"/>
    <w:rsid w:val="00262EE3"/>
    <w:rsid w:val="00282299"/>
    <w:rsid w:val="00282F86"/>
    <w:rsid w:val="002857BA"/>
    <w:rsid w:val="00285D9C"/>
    <w:rsid w:val="0029119B"/>
    <w:rsid w:val="00294F81"/>
    <w:rsid w:val="002A7652"/>
    <w:rsid w:val="002B7CA2"/>
    <w:rsid w:val="002C19F3"/>
    <w:rsid w:val="002C3FF5"/>
    <w:rsid w:val="002C45C6"/>
    <w:rsid w:val="002D06E7"/>
    <w:rsid w:val="002D75D1"/>
    <w:rsid w:val="002E064C"/>
    <w:rsid w:val="002E172E"/>
    <w:rsid w:val="002E319C"/>
    <w:rsid w:val="002F1269"/>
    <w:rsid w:val="002F383A"/>
    <w:rsid w:val="002F7492"/>
    <w:rsid w:val="00302D14"/>
    <w:rsid w:val="00307903"/>
    <w:rsid w:val="003120CE"/>
    <w:rsid w:val="00312886"/>
    <w:rsid w:val="00312A3D"/>
    <w:rsid w:val="00323770"/>
    <w:rsid w:val="00325526"/>
    <w:rsid w:val="0032640E"/>
    <w:rsid w:val="00327006"/>
    <w:rsid w:val="00330FB4"/>
    <w:rsid w:val="003312E2"/>
    <w:rsid w:val="00333E04"/>
    <w:rsid w:val="00340336"/>
    <w:rsid w:val="003433D9"/>
    <w:rsid w:val="0034436D"/>
    <w:rsid w:val="00345069"/>
    <w:rsid w:val="00345599"/>
    <w:rsid w:val="00350B1A"/>
    <w:rsid w:val="00351597"/>
    <w:rsid w:val="00352E29"/>
    <w:rsid w:val="003552FD"/>
    <w:rsid w:val="0035786A"/>
    <w:rsid w:val="0036092C"/>
    <w:rsid w:val="00362B06"/>
    <w:rsid w:val="00364EDF"/>
    <w:rsid w:val="003655B8"/>
    <w:rsid w:val="00365D27"/>
    <w:rsid w:val="003750F8"/>
    <w:rsid w:val="00376873"/>
    <w:rsid w:val="00380C80"/>
    <w:rsid w:val="00387CC5"/>
    <w:rsid w:val="00394395"/>
    <w:rsid w:val="003A4D82"/>
    <w:rsid w:val="003A4E6A"/>
    <w:rsid w:val="003A55AB"/>
    <w:rsid w:val="003B2B3A"/>
    <w:rsid w:val="003C3F32"/>
    <w:rsid w:val="003C7BB2"/>
    <w:rsid w:val="003D03C2"/>
    <w:rsid w:val="003E04EF"/>
    <w:rsid w:val="003E130B"/>
    <w:rsid w:val="00406E7D"/>
    <w:rsid w:val="00417A89"/>
    <w:rsid w:val="00417E27"/>
    <w:rsid w:val="004225A7"/>
    <w:rsid w:val="00431677"/>
    <w:rsid w:val="0043254B"/>
    <w:rsid w:val="00437A4E"/>
    <w:rsid w:val="00437DFC"/>
    <w:rsid w:val="004427B7"/>
    <w:rsid w:val="00443324"/>
    <w:rsid w:val="00446B8F"/>
    <w:rsid w:val="00447C41"/>
    <w:rsid w:val="004509F6"/>
    <w:rsid w:val="00457F96"/>
    <w:rsid w:val="00461BA1"/>
    <w:rsid w:val="00474BEC"/>
    <w:rsid w:val="00475555"/>
    <w:rsid w:val="00482969"/>
    <w:rsid w:val="00483593"/>
    <w:rsid w:val="00484699"/>
    <w:rsid w:val="00484858"/>
    <w:rsid w:val="004878CE"/>
    <w:rsid w:val="00490590"/>
    <w:rsid w:val="00492EB9"/>
    <w:rsid w:val="00494F8C"/>
    <w:rsid w:val="00495668"/>
    <w:rsid w:val="00497B5E"/>
    <w:rsid w:val="004A1B08"/>
    <w:rsid w:val="004A3B64"/>
    <w:rsid w:val="004A3FC8"/>
    <w:rsid w:val="004B32C3"/>
    <w:rsid w:val="004B5F57"/>
    <w:rsid w:val="004C0A59"/>
    <w:rsid w:val="004C1DD7"/>
    <w:rsid w:val="004C4FDD"/>
    <w:rsid w:val="004C525D"/>
    <w:rsid w:val="004C5A0D"/>
    <w:rsid w:val="004C6388"/>
    <w:rsid w:val="004D2F5E"/>
    <w:rsid w:val="004E1F79"/>
    <w:rsid w:val="004E71D8"/>
    <w:rsid w:val="004F03E4"/>
    <w:rsid w:val="004F6908"/>
    <w:rsid w:val="0050126E"/>
    <w:rsid w:val="00505082"/>
    <w:rsid w:val="0050509C"/>
    <w:rsid w:val="0051624B"/>
    <w:rsid w:val="0052130D"/>
    <w:rsid w:val="005233C3"/>
    <w:rsid w:val="005244AE"/>
    <w:rsid w:val="00525B44"/>
    <w:rsid w:val="00530ADF"/>
    <w:rsid w:val="0053108C"/>
    <w:rsid w:val="00537CA1"/>
    <w:rsid w:val="00537FF5"/>
    <w:rsid w:val="005469E0"/>
    <w:rsid w:val="00550292"/>
    <w:rsid w:val="00550E98"/>
    <w:rsid w:val="005510B7"/>
    <w:rsid w:val="00551681"/>
    <w:rsid w:val="005519FD"/>
    <w:rsid w:val="005565D3"/>
    <w:rsid w:val="00561707"/>
    <w:rsid w:val="00562341"/>
    <w:rsid w:val="005633F9"/>
    <w:rsid w:val="0057302B"/>
    <w:rsid w:val="0057428E"/>
    <w:rsid w:val="00580B34"/>
    <w:rsid w:val="00582A4F"/>
    <w:rsid w:val="005949C3"/>
    <w:rsid w:val="00596386"/>
    <w:rsid w:val="00596EC7"/>
    <w:rsid w:val="005A29A9"/>
    <w:rsid w:val="005A4449"/>
    <w:rsid w:val="005A4933"/>
    <w:rsid w:val="005B4CB5"/>
    <w:rsid w:val="005B5819"/>
    <w:rsid w:val="005C18D7"/>
    <w:rsid w:val="005C210D"/>
    <w:rsid w:val="005C6680"/>
    <w:rsid w:val="005D17F9"/>
    <w:rsid w:val="005D2438"/>
    <w:rsid w:val="005D455F"/>
    <w:rsid w:val="005F3060"/>
    <w:rsid w:val="005F41C4"/>
    <w:rsid w:val="00602EDF"/>
    <w:rsid w:val="00603684"/>
    <w:rsid w:val="00605CF3"/>
    <w:rsid w:val="00613801"/>
    <w:rsid w:val="006176AA"/>
    <w:rsid w:val="0062207B"/>
    <w:rsid w:val="006233FE"/>
    <w:rsid w:val="00624C67"/>
    <w:rsid w:val="006260DB"/>
    <w:rsid w:val="00626195"/>
    <w:rsid w:val="00627F3C"/>
    <w:rsid w:val="00641A64"/>
    <w:rsid w:val="00653EDA"/>
    <w:rsid w:val="00655AE4"/>
    <w:rsid w:val="0065697C"/>
    <w:rsid w:val="00657CBC"/>
    <w:rsid w:val="006706B7"/>
    <w:rsid w:val="0067280A"/>
    <w:rsid w:val="00674441"/>
    <w:rsid w:val="00674981"/>
    <w:rsid w:val="00680FB2"/>
    <w:rsid w:val="00683B49"/>
    <w:rsid w:val="00684838"/>
    <w:rsid w:val="00685C1D"/>
    <w:rsid w:val="00690704"/>
    <w:rsid w:val="0069794B"/>
    <w:rsid w:val="00697E10"/>
    <w:rsid w:val="006A5364"/>
    <w:rsid w:val="006B1B4D"/>
    <w:rsid w:val="006B3CBB"/>
    <w:rsid w:val="006B6FEE"/>
    <w:rsid w:val="006D0964"/>
    <w:rsid w:val="006E1477"/>
    <w:rsid w:val="006E3247"/>
    <w:rsid w:val="006E6E2C"/>
    <w:rsid w:val="00701332"/>
    <w:rsid w:val="00703E82"/>
    <w:rsid w:val="007079BF"/>
    <w:rsid w:val="00713362"/>
    <w:rsid w:val="00723BBF"/>
    <w:rsid w:val="00724257"/>
    <w:rsid w:val="00743AF2"/>
    <w:rsid w:val="00754B6C"/>
    <w:rsid w:val="00765693"/>
    <w:rsid w:val="0076657E"/>
    <w:rsid w:val="00767179"/>
    <w:rsid w:val="00767AFC"/>
    <w:rsid w:val="00770DFB"/>
    <w:rsid w:val="00771F9E"/>
    <w:rsid w:val="00772027"/>
    <w:rsid w:val="00773330"/>
    <w:rsid w:val="00777934"/>
    <w:rsid w:val="007822BB"/>
    <w:rsid w:val="00794CF0"/>
    <w:rsid w:val="00796147"/>
    <w:rsid w:val="007A17B1"/>
    <w:rsid w:val="007A1BBF"/>
    <w:rsid w:val="007B02F7"/>
    <w:rsid w:val="007B0CEA"/>
    <w:rsid w:val="007B380F"/>
    <w:rsid w:val="007C01DB"/>
    <w:rsid w:val="007D1FF5"/>
    <w:rsid w:val="007D4CD1"/>
    <w:rsid w:val="007D72D1"/>
    <w:rsid w:val="007E01C1"/>
    <w:rsid w:val="007E06CB"/>
    <w:rsid w:val="007E5CC8"/>
    <w:rsid w:val="007F09AD"/>
    <w:rsid w:val="007F42C2"/>
    <w:rsid w:val="007F4312"/>
    <w:rsid w:val="007F6EF0"/>
    <w:rsid w:val="00815D8A"/>
    <w:rsid w:val="00820C2D"/>
    <w:rsid w:val="00821838"/>
    <w:rsid w:val="00826A11"/>
    <w:rsid w:val="00826D3A"/>
    <w:rsid w:val="00827757"/>
    <w:rsid w:val="0083603D"/>
    <w:rsid w:val="008374F0"/>
    <w:rsid w:val="008406CD"/>
    <w:rsid w:val="008437A5"/>
    <w:rsid w:val="00854E60"/>
    <w:rsid w:val="008566FF"/>
    <w:rsid w:val="0085673E"/>
    <w:rsid w:val="00871A25"/>
    <w:rsid w:val="00874376"/>
    <w:rsid w:val="008762C7"/>
    <w:rsid w:val="00880DE6"/>
    <w:rsid w:val="0088169C"/>
    <w:rsid w:val="0088548E"/>
    <w:rsid w:val="008907E7"/>
    <w:rsid w:val="00890A99"/>
    <w:rsid w:val="00891C30"/>
    <w:rsid w:val="00893ED0"/>
    <w:rsid w:val="0089655D"/>
    <w:rsid w:val="008974F5"/>
    <w:rsid w:val="008A6A9F"/>
    <w:rsid w:val="008A7834"/>
    <w:rsid w:val="008A7E2C"/>
    <w:rsid w:val="008B5833"/>
    <w:rsid w:val="008B6CB2"/>
    <w:rsid w:val="008C59F1"/>
    <w:rsid w:val="008C7E34"/>
    <w:rsid w:val="008D4114"/>
    <w:rsid w:val="008D4A19"/>
    <w:rsid w:val="008D6016"/>
    <w:rsid w:val="008E2CE6"/>
    <w:rsid w:val="008E2D0A"/>
    <w:rsid w:val="008E4F45"/>
    <w:rsid w:val="008E7029"/>
    <w:rsid w:val="008F33AC"/>
    <w:rsid w:val="008F343E"/>
    <w:rsid w:val="008F6443"/>
    <w:rsid w:val="00904C68"/>
    <w:rsid w:val="00905A06"/>
    <w:rsid w:val="009061EC"/>
    <w:rsid w:val="00906A8F"/>
    <w:rsid w:val="00913341"/>
    <w:rsid w:val="0091373F"/>
    <w:rsid w:val="00914394"/>
    <w:rsid w:val="00923CED"/>
    <w:rsid w:val="00925A64"/>
    <w:rsid w:val="00925ACD"/>
    <w:rsid w:val="009316B9"/>
    <w:rsid w:val="00936D44"/>
    <w:rsid w:val="00937EFA"/>
    <w:rsid w:val="00942962"/>
    <w:rsid w:val="00945BAE"/>
    <w:rsid w:val="00947738"/>
    <w:rsid w:val="009529EC"/>
    <w:rsid w:val="009545F6"/>
    <w:rsid w:val="0095590B"/>
    <w:rsid w:val="00960951"/>
    <w:rsid w:val="00967AC4"/>
    <w:rsid w:val="00970321"/>
    <w:rsid w:val="009709A8"/>
    <w:rsid w:val="0097599F"/>
    <w:rsid w:val="0098719E"/>
    <w:rsid w:val="00990717"/>
    <w:rsid w:val="00990EBD"/>
    <w:rsid w:val="00991AAE"/>
    <w:rsid w:val="00995A29"/>
    <w:rsid w:val="00997D89"/>
    <w:rsid w:val="009A069F"/>
    <w:rsid w:val="009A208A"/>
    <w:rsid w:val="009A4911"/>
    <w:rsid w:val="009A51EB"/>
    <w:rsid w:val="009A5A82"/>
    <w:rsid w:val="009A7AA3"/>
    <w:rsid w:val="009A7C27"/>
    <w:rsid w:val="009B540B"/>
    <w:rsid w:val="009C2D06"/>
    <w:rsid w:val="009C737F"/>
    <w:rsid w:val="009D48E9"/>
    <w:rsid w:val="009D5189"/>
    <w:rsid w:val="009D5EF3"/>
    <w:rsid w:val="009D741B"/>
    <w:rsid w:val="009E32EC"/>
    <w:rsid w:val="009E4297"/>
    <w:rsid w:val="009E514B"/>
    <w:rsid w:val="009F4DD6"/>
    <w:rsid w:val="00A04DC8"/>
    <w:rsid w:val="00A05616"/>
    <w:rsid w:val="00A06E46"/>
    <w:rsid w:val="00A16521"/>
    <w:rsid w:val="00A21201"/>
    <w:rsid w:val="00A26A00"/>
    <w:rsid w:val="00A26D11"/>
    <w:rsid w:val="00A27353"/>
    <w:rsid w:val="00A27899"/>
    <w:rsid w:val="00A30CED"/>
    <w:rsid w:val="00A366EC"/>
    <w:rsid w:val="00A409E7"/>
    <w:rsid w:val="00A45455"/>
    <w:rsid w:val="00A50E43"/>
    <w:rsid w:val="00A515BA"/>
    <w:rsid w:val="00A520C3"/>
    <w:rsid w:val="00A522CE"/>
    <w:rsid w:val="00A55C81"/>
    <w:rsid w:val="00A7642B"/>
    <w:rsid w:val="00A836EF"/>
    <w:rsid w:val="00A84F54"/>
    <w:rsid w:val="00A86D36"/>
    <w:rsid w:val="00A95B3A"/>
    <w:rsid w:val="00AA1CEE"/>
    <w:rsid w:val="00AA3677"/>
    <w:rsid w:val="00AA4E73"/>
    <w:rsid w:val="00AB582D"/>
    <w:rsid w:val="00AC1EA2"/>
    <w:rsid w:val="00AC7AE9"/>
    <w:rsid w:val="00AD0722"/>
    <w:rsid w:val="00AD23E0"/>
    <w:rsid w:val="00AE424F"/>
    <w:rsid w:val="00AE475B"/>
    <w:rsid w:val="00AE5AB3"/>
    <w:rsid w:val="00AE5C93"/>
    <w:rsid w:val="00AE702F"/>
    <w:rsid w:val="00AF0BD9"/>
    <w:rsid w:val="00B01662"/>
    <w:rsid w:val="00B02816"/>
    <w:rsid w:val="00B0603C"/>
    <w:rsid w:val="00B07159"/>
    <w:rsid w:val="00B1430A"/>
    <w:rsid w:val="00B2441E"/>
    <w:rsid w:val="00B25A27"/>
    <w:rsid w:val="00B30820"/>
    <w:rsid w:val="00B32C4A"/>
    <w:rsid w:val="00B33046"/>
    <w:rsid w:val="00B33214"/>
    <w:rsid w:val="00B341BD"/>
    <w:rsid w:val="00B42867"/>
    <w:rsid w:val="00B44191"/>
    <w:rsid w:val="00B509FE"/>
    <w:rsid w:val="00B517EB"/>
    <w:rsid w:val="00B532EC"/>
    <w:rsid w:val="00B551E6"/>
    <w:rsid w:val="00B55CA2"/>
    <w:rsid w:val="00B57632"/>
    <w:rsid w:val="00B67C27"/>
    <w:rsid w:val="00B70A17"/>
    <w:rsid w:val="00B7254D"/>
    <w:rsid w:val="00B764FC"/>
    <w:rsid w:val="00B77B37"/>
    <w:rsid w:val="00B86113"/>
    <w:rsid w:val="00B86FA5"/>
    <w:rsid w:val="00B92807"/>
    <w:rsid w:val="00B93096"/>
    <w:rsid w:val="00B96607"/>
    <w:rsid w:val="00BA0B4A"/>
    <w:rsid w:val="00BA3EAF"/>
    <w:rsid w:val="00BA4251"/>
    <w:rsid w:val="00BB4035"/>
    <w:rsid w:val="00BB69F0"/>
    <w:rsid w:val="00BC12A2"/>
    <w:rsid w:val="00BC168B"/>
    <w:rsid w:val="00BD3585"/>
    <w:rsid w:val="00BE1376"/>
    <w:rsid w:val="00BE427E"/>
    <w:rsid w:val="00BE596E"/>
    <w:rsid w:val="00C0345D"/>
    <w:rsid w:val="00C06466"/>
    <w:rsid w:val="00C11AA1"/>
    <w:rsid w:val="00C16DA4"/>
    <w:rsid w:val="00C22E1A"/>
    <w:rsid w:val="00C25C63"/>
    <w:rsid w:val="00C26EAB"/>
    <w:rsid w:val="00C3144B"/>
    <w:rsid w:val="00C36835"/>
    <w:rsid w:val="00C36F2D"/>
    <w:rsid w:val="00C375FD"/>
    <w:rsid w:val="00C403FB"/>
    <w:rsid w:val="00C42C7D"/>
    <w:rsid w:val="00C437B1"/>
    <w:rsid w:val="00C451D8"/>
    <w:rsid w:val="00C502BF"/>
    <w:rsid w:val="00C5111A"/>
    <w:rsid w:val="00C52181"/>
    <w:rsid w:val="00C5600D"/>
    <w:rsid w:val="00C5724F"/>
    <w:rsid w:val="00C5735E"/>
    <w:rsid w:val="00C60FD3"/>
    <w:rsid w:val="00C63F6B"/>
    <w:rsid w:val="00C66C04"/>
    <w:rsid w:val="00C71E40"/>
    <w:rsid w:val="00C822FA"/>
    <w:rsid w:val="00CA4979"/>
    <w:rsid w:val="00CA6F9A"/>
    <w:rsid w:val="00CB0761"/>
    <w:rsid w:val="00CB24E2"/>
    <w:rsid w:val="00CB4265"/>
    <w:rsid w:val="00CC2ACE"/>
    <w:rsid w:val="00CC663F"/>
    <w:rsid w:val="00CD325A"/>
    <w:rsid w:val="00CD449E"/>
    <w:rsid w:val="00CD66A9"/>
    <w:rsid w:val="00CE0B45"/>
    <w:rsid w:val="00CE1041"/>
    <w:rsid w:val="00CE2106"/>
    <w:rsid w:val="00CE2834"/>
    <w:rsid w:val="00CE2CB0"/>
    <w:rsid w:val="00CE5642"/>
    <w:rsid w:val="00CF41BC"/>
    <w:rsid w:val="00D045FB"/>
    <w:rsid w:val="00D27DA4"/>
    <w:rsid w:val="00D3219F"/>
    <w:rsid w:val="00D33C6A"/>
    <w:rsid w:val="00D34414"/>
    <w:rsid w:val="00D36784"/>
    <w:rsid w:val="00D36AB5"/>
    <w:rsid w:val="00D37179"/>
    <w:rsid w:val="00D37983"/>
    <w:rsid w:val="00D417F3"/>
    <w:rsid w:val="00D45C40"/>
    <w:rsid w:val="00D54576"/>
    <w:rsid w:val="00D57AB1"/>
    <w:rsid w:val="00D6236C"/>
    <w:rsid w:val="00D640BD"/>
    <w:rsid w:val="00D656E1"/>
    <w:rsid w:val="00D65EAC"/>
    <w:rsid w:val="00D803C9"/>
    <w:rsid w:val="00D812DD"/>
    <w:rsid w:val="00D81B95"/>
    <w:rsid w:val="00D848FB"/>
    <w:rsid w:val="00D86182"/>
    <w:rsid w:val="00D86AC8"/>
    <w:rsid w:val="00D95C0F"/>
    <w:rsid w:val="00DA1384"/>
    <w:rsid w:val="00DA212A"/>
    <w:rsid w:val="00DB013F"/>
    <w:rsid w:val="00DB2284"/>
    <w:rsid w:val="00DB29FC"/>
    <w:rsid w:val="00DC0871"/>
    <w:rsid w:val="00DC1535"/>
    <w:rsid w:val="00DC1852"/>
    <w:rsid w:val="00DC3AAA"/>
    <w:rsid w:val="00DC4B86"/>
    <w:rsid w:val="00DC4C1C"/>
    <w:rsid w:val="00DC567F"/>
    <w:rsid w:val="00DC7E02"/>
    <w:rsid w:val="00DD39CB"/>
    <w:rsid w:val="00DE4B4C"/>
    <w:rsid w:val="00DF4BEE"/>
    <w:rsid w:val="00DF505E"/>
    <w:rsid w:val="00DF7AC5"/>
    <w:rsid w:val="00E02F5C"/>
    <w:rsid w:val="00E22452"/>
    <w:rsid w:val="00E22F83"/>
    <w:rsid w:val="00E25712"/>
    <w:rsid w:val="00E27AC0"/>
    <w:rsid w:val="00E31726"/>
    <w:rsid w:val="00E34E92"/>
    <w:rsid w:val="00E40EE6"/>
    <w:rsid w:val="00E47557"/>
    <w:rsid w:val="00E52B80"/>
    <w:rsid w:val="00E56229"/>
    <w:rsid w:val="00E5623C"/>
    <w:rsid w:val="00E62736"/>
    <w:rsid w:val="00E64CE8"/>
    <w:rsid w:val="00E6528A"/>
    <w:rsid w:val="00E671C4"/>
    <w:rsid w:val="00E67D94"/>
    <w:rsid w:val="00E7088B"/>
    <w:rsid w:val="00E70BD2"/>
    <w:rsid w:val="00E76973"/>
    <w:rsid w:val="00E80FB7"/>
    <w:rsid w:val="00E810C7"/>
    <w:rsid w:val="00E81FF8"/>
    <w:rsid w:val="00E85D49"/>
    <w:rsid w:val="00E85F6E"/>
    <w:rsid w:val="00E90597"/>
    <w:rsid w:val="00E96CFB"/>
    <w:rsid w:val="00EA1B0F"/>
    <w:rsid w:val="00EA5A5F"/>
    <w:rsid w:val="00EB5761"/>
    <w:rsid w:val="00EB6BCD"/>
    <w:rsid w:val="00EC119C"/>
    <w:rsid w:val="00EC1AEF"/>
    <w:rsid w:val="00EC6473"/>
    <w:rsid w:val="00EE09ED"/>
    <w:rsid w:val="00EE61F5"/>
    <w:rsid w:val="00EF6A88"/>
    <w:rsid w:val="00EF7C13"/>
    <w:rsid w:val="00F0151B"/>
    <w:rsid w:val="00F10CA7"/>
    <w:rsid w:val="00F20C44"/>
    <w:rsid w:val="00F22FAB"/>
    <w:rsid w:val="00F233AD"/>
    <w:rsid w:val="00F23C30"/>
    <w:rsid w:val="00F30D71"/>
    <w:rsid w:val="00F342CB"/>
    <w:rsid w:val="00F36088"/>
    <w:rsid w:val="00F379DE"/>
    <w:rsid w:val="00F41915"/>
    <w:rsid w:val="00F423F5"/>
    <w:rsid w:val="00F4298A"/>
    <w:rsid w:val="00F42F3D"/>
    <w:rsid w:val="00F4554F"/>
    <w:rsid w:val="00F501D9"/>
    <w:rsid w:val="00F53A07"/>
    <w:rsid w:val="00F64574"/>
    <w:rsid w:val="00F700B3"/>
    <w:rsid w:val="00F83079"/>
    <w:rsid w:val="00F84BE2"/>
    <w:rsid w:val="00F928A7"/>
    <w:rsid w:val="00F9392E"/>
    <w:rsid w:val="00F96513"/>
    <w:rsid w:val="00F97DDD"/>
    <w:rsid w:val="00FA45DD"/>
    <w:rsid w:val="00FA5917"/>
    <w:rsid w:val="00FC0DDF"/>
    <w:rsid w:val="00FC286B"/>
    <w:rsid w:val="00FC7023"/>
    <w:rsid w:val="00FC7C4B"/>
    <w:rsid w:val="00FD162F"/>
    <w:rsid w:val="00FD3D73"/>
    <w:rsid w:val="00FD5815"/>
    <w:rsid w:val="00FD6A2D"/>
    <w:rsid w:val="00FD7EDB"/>
    <w:rsid w:val="00FE26B8"/>
    <w:rsid w:val="00FE34FF"/>
    <w:rsid w:val="00FF2CD9"/>
    <w:rsid w:val="00FF6C1F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E91A"/>
  <w15:docId w15:val="{45C22F7B-8DF6-44A7-99F3-D1B148B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7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5819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819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styleId="a3">
    <w:name w:val="Hyperlink"/>
    <w:uiPriority w:val="99"/>
    <w:rsid w:val="005B5819"/>
    <w:rPr>
      <w:color w:val="0000FF"/>
      <w:u w:val="single"/>
    </w:rPr>
  </w:style>
  <w:style w:type="paragraph" w:styleId="a4">
    <w:name w:val="List Paragraph"/>
    <w:aliases w:val="Bullet List,FooterText,numbered,List_Paragraph,Multilevel para_II,List Paragraph (numbered (a)),Numbered list,Абзац списка1,List Paragraph1,lp1,符号列表,列出段落2,列出段落1,·ûºÅÁÐ±í,¡¤?o?¨¢D¡À¨ª,?¡è?o?¡§¡éD?¨¤¡§a,??¨¨?o??¡ì?¨¦D?¡§¡è?¡ìa,?"/>
    <w:basedOn w:val="a"/>
    <w:link w:val="a5"/>
    <w:qFormat/>
    <w:rsid w:val="005B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B581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6"/>
    <w:rsid w:val="005B5819"/>
    <w:rPr>
      <w:rFonts w:ascii="Microsoft Sans Serif" w:eastAsia="Microsoft Sans Serif" w:hAnsi="Microsoft Sans Serif" w:cs="Microsoft Sans Serif"/>
      <w:spacing w:val="-4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7"/>
    <w:rsid w:val="005B5819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Microsoft Sans Serif" w:eastAsia="Microsoft Sans Serif" w:hAnsi="Microsoft Sans Serif" w:cs="Microsoft Sans Serif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367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97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80DE6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List_Paragraph Знак,Multilevel para_II Знак,List Paragraph (numbered (a)) Знак,Numbered list Знак,Абзац списка1 Знак,List Paragraph1 Знак,lp1 Знак,符号列表 Знак,列出段落2 Знак,列出段落1 Знак,? Знак"/>
    <w:link w:val="a4"/>
    <w:rsid w:val="003A4E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72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1">
    <w:name w:val="Основной текст 21"/>
    <w:basedOn w:val="a"/>
    <w:rsid w:val="008A783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table" w:styleId="aa">
    <w:name w:val="Table Grid"/>
    <w:basedOn w:val="a1"/>
    <w:uiPriority w:val="39"/>
    <w:rsid w:val="00F22F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4848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48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48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48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4858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7F2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53108C"/>
    <w:rPr>
      <w:b/>
      <w:bCs/>
    </w:rPr>
  </w:style>
  <w:style w:type="paragraph" w:customStyle="1" w:styleId="Pa8">
    <w:name w:val="Pa8"/>
    <w:basedOn w:val="a"/>
    <w:next w:val="a"/>
    <w:uiPriority w:val="99"/>
    <w:rsid w:val="00BD3585"/>
    <w:pPr>
      <w:autoSpaceDE w:val="0"/>
      <w:autoSpaceDN w:val="0"/>
      <w:adjustRightInd w:val="0"/>
      <w:spacing w:after="0" w:line="221" w:lineRule="atLeast"/>
    </w:pPr>
    <w:rPr>
      <w:rFonts w:ascii="Fedra Sans Alt Pro Book" w:eastAsia="Times New Roman" w:hAnsi="Fedra Sans Alt Pro Book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3552FD"/>
    <w:rPr>
      <w:color w:val="954F72" w:themeColor="followedHyperlink"/>
      <w:u w:val="single"/>
    </w:rPr>
  </w:style>
  <w:style w:type="paragraph" w:styleId="31">
    <w:name w:val="Body Text 3"/>
    <w:basedOn w:val="a"/>
    <w:link w:val="32"/>
    <w:semiHidden/>
    <w:unhideWhenUsed/>
    <w:rsid w:val="003A55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3A55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70A17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8A7E2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A7E2C"/>
  </w:style>
  <w:style w:type="paragraph" w:styleId="af4">
    <w:name w:val="footnote text"/>
    <w:basedOn w:val="a"/>
    <w:link w:val="af5"/>
    <w:semiHidden/>
    <w:rsid w:val="008A7E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8A7E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Таблица текст"/>
    <w:basedOn w:val="a"/>
    <w:rsid w:val="008A7E2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f7">
    <w:name w:val="Plain Text"/>
    <w:basedOn w:val="a"/>
    <w:link w:val="af8"/>
    <w:uiPriority w:val="99"/>
    <w:unhideWhenUsed/>
    <w:rsid w:val="008A7E2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ru-RU"/>
    </w:rPr>
  </w:style>
  <w:style w:type="character" w:customStyle="1" w:styleId="af8">
    <w:name w:val="Текст Знак"/>
    <w:basedOn w:val="a0"/>
    <w:link w:val="af7"/>
    <w:uiPriority w:val="99"/>
    <w:rsid w:val="008A7E2C"/>
    <w:rPr>
      <w:rFonts w:ascii="Consolas" w:eastAsia="Calibri" w:hAnsi="Consolas" w:cs="Times New Roman"/>
      <w:sz w:val="21"/>
      <w:szCs w:val="21"/>
      <w:lang w:val="ru-RU" w:eastAsia="ru-RU"/>
    </w:rPr>
  </w:style>
  <w:style w:type="paragraph" w:customStyle="1" w:styleId="-2-">
    <w:name w:val="Заголовок - подпункт 2-го уровня"/>
    <w:basedOn w:val="af9"/>
    <w:rsid w:val="008A7E2C"/>
    <w:pPr>
      <w:numPr>
        <w:ilvl w:val="1"/>
        <w:numId w:val="32"/>
      </w:numPr>
      <w:tabs>
        <w:tab w:val="clear" w:pos="792"/>
      </w:tabs>
      <w:spacing w:before="120" w:after="60" w:line="240" w:lineRule="auto"/>
      <w:ind w:left="1965" w:hanging="360"/>
    </w:pPr>
    <w:rPr>
      <w:rFonts w:eastAsia="Times New Roman"/>
      <w:szCs w:val="20"/>
      <w:lang w:val="ru-RU" w:eastAsia="ru-RU"/>
    </w:rPr>
  </w:style>
  <w:style w:type="paragraph" w:customStyle="1" w:styleId="-3-">
    <w:name w:val="Заголовок - подпункт 3-го уровня"/>
    <w:basedOn w:val="-2-"/>
    <w:rsid w:val="008A7E2C"/>
    <w:pPr>
      <w:numPr>
        <w:ilvl w:val="2"/>
      </w:numPr>
      <w:tabs>
        <w:tab w:val="clear" w:pos="1224"/>
      </w:tabs>
      <w:spacing w:before="60" w:after="0"/>
      <w:ind w:left="2685" w:hanging="360"/>
    </w:pPr>
  </w:style>
  <w:style w:type="paragraph" w:customStyle="1" w:styleId="4-">
    <w:name w:val="Подпункт 4-го уровня"/>
    <w:basedOn w:val="-3-"/>
    <w:rsid w:val="008A7E2C"/>
    <w:pPr>
      <w:numPr>
        <w:ilvl w:val="3"/>
      </w:numPr>
      <w:tabs>
        <w:tab w:val="clear" w:pos="1728"/>
      </w:tabs>
      <w:spacing w:before="0"/>
      <w:ind w:left="3405" w:hanging="360"/>
    </w:pPr>
  </w:style>
  <w:style w:type="paragraph" w:styleId="af9">
    <w:name w:val="Normal (Web)"/>
    <w:basedOn w:val="a"/>
    <w:uiPriority w:val="99"/>
    <w:semiHidden/>
    <w:unhideWhenUsed/>
    <w:rsid w:val="008A7E2C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14F1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39"/>
    <w:rsid w:val="00CD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F30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39"/>
    <w:rsid w:val="000B6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4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1844-4FE0-42CC-908E-1359CBCA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KOMPYUTER_SERVIS</cp:lastModifiedBy>
  <cp:revision>30</cp:revision>
  <cp:lastPrinted>2021-08-09T14:15:00Z</cp:lastPrinted>
  <dcterms:created xsi:type="dcterms:W3CDTF">2021-12-07T04:40:00Z</dcterms:created>
  <dcterms:modified xsi:type="dcterms:W3CDTF">2022-02-01T06:49:00Z</dcterms:modified>
</cp:coreProperties>
</file>