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B5" w:rsidRDefault="00CB0BB5" w:rsidP="00CB0BB5">
      <w:pPr>
        <w:ind w:left="35" w:right="1" w:firstLine="532"/>
        <w:jc w:val="center"/>
        <w:rPr>
          <w:b/>
          <w:sz w:val="24"/>
          <w:szCs w:val="24"/>
          <w:lang w:val="uz-Cyrl-UZ"/>
        </w:rPr>
      </w:pPr>
      <w:r w:rsidRPr="009F5520">
        <w:rPr>
          <w:b/>
          <w:sz w:val="24"/>
          <w:szCs w:val="24"/>
          <w:lang w:val="uz-Cyrl-UZ"/>
        </w:rPr>
        <w:t>V. ШАРТНОМА ШАКЛИ</w:t>
      </w:r>
    </w:p>
    <w:p w:rsidR="00CB0BB5" w:rsidRDefault="00CB0BB5" w:rsidP="00CB0BB5">
      <w:pPr>
        <w:ind w:left="35" w:right="1" w:firstLine="532"/>
        <w:jc w:val="center"/>
        <w:rPr>
          <w:b/>
          <w:sz w:val="24"/>
          <w:szCs w:val="24"/>
          <w:lang w:val="uz-Cyrl-UZ"/>
        </w:rPr>
      </w:pPr>
    </w:p>
    <w:p w:rsidR="00CB0BB5" w:rsidRPr="009F5520" w:rsidRDefault="00CB0BB5" w:rsidP="00CB0BB5">
      <w:pPr>
        <w:ind w:left="35" w:right="1" w:firstLine="532"/>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CB0BB5" w:rsidRPr="009F5520" w:rsidRDefault="00CB0BB5" w:rsidP="00CB0BB5">
      <w:pPr>
        <w:spacing w:line="259" w:lineRule="auto"/>
        <w:jc w:val="center"/>
        <w:rPr>
          <w:rFonts w:eastAsia="Calibri"/>
          <w:b/>
          <w:sz w:val="24"/>
          <w:szCs w:val="24"/>
          <w:lang w:val="uz-Cyrl-UZ" w:eastAsia="en-US"/>
        </w:rPr>
      </w:pPr>
      <w:r w:rsidRPr="009F5520">
        <w:rPr>
          <w:rFonts w:eastAsia="Calibri"/>
          <w:b/>
          <w:sz w:val="24"/>
          <w:szCs w:val="24"/>
          <w:lang w:val="uz-Cyrl-UZ" w:eastAsia="en-US"/>
        </w:rPr>
        <w:t>Ўзбекистон Республикаси _______________________________________________тўғрисида</w:t>
      </w:r>
    </w:p>
    <w:p w:rsidR="00CB0BB5" w:rsidRPr="009F5520" w:rsidRDefault="00CB0BB5" w:rsidP="00CB0BB5">
      <w:pPr>
        <w:spacing w:after="160" w:line="259" w:lineRule="auto"/>
        <w:jc w:val="center"/>
        <w:rPr>
          <w:rFonts w:eastAsia="Calibri"/>
          <w:b/>
          <w:sz w:val="24"/>
          <w:szCs w:val="24"/>
          <w:lang w:val="uz-Cyrl-UZ" w:eastAsia="en-US"/>
        </w:rPr>
      </w:pPr>
      <w:r w:rsidRPr="009F5520">
        <w:rPr>
          <w:rFonts w:eastAsia="Calibri"/>
          <w:sz w:val="24"/>
          <w:szCs w:val="24"/>
          <w:lang w:val="uz-Cyrl-UZ" w:eastAsia="en-US"/>
        </w:rPr>
        <w:t>Гулистон ш</w:t>
      </w:r>
      <w:r>
        <w:rPr>
          <w:rFonts w:eastAsia="Calibri"/>
          <w:sz w:val="24"/>
          <w:szCs w:val="24"/>
          <w:lang w:val="uz-Cyrl-UZ" w:eastAsia="en-US"/>
        </w:rPr>
        <w:t xml:space="preserve">                                                                                                                               </w:t>
      </w:r>
      <w:r w:rsidRPr="009F5520">
        <w:rPr>
          <w:rFonts w:eastAsia="Calibri"/>
          <w:sz w:val="24"/>
          <w:szCs w:val="24"/>
          <w:lang w:val="uz-Cyrl-UZ" w:eastAsia="en-US"/>
        </w:rPr>
        <w:t>202</w:t>
      </w:r>
      <w:r>
        <w:rPr>
          <w:rFonts w:eastAsia="Calibri"/>
          <w:sz w:val="24"/>
          <w:szCs w:val="24"/>
          <w:lang w:val="uz-Cyrl-UZ" w:eastAsia="en-US"/>
        </w:rPr>
        <w:t>2</w:t>
      </w:r>
      <w:r w:rsidRPr="009F5520">
        <w:rPr>
          <w:rFonts w:eastAsia="Calibri"/>
          <w:sz w:val="24"/>
          <w:szCs w:val="24"/>
          <w:lang w:val="uz-Cyrl-UZ" w:eastAsia="en-US"/>
        </w:rPr>
        <w:t xml:space="preserve"> йил ”   ” </w:t>
      </w:r>
    </w:p>
    <w:p w:rsidR="00CB0BB5" w:rsidRPr="009F5520" w:rsidRDefault="00CB0BB5" w:rsidP="00CB0BB5">
      <w:pPr>
        <w:spacing w:line="242" w:lineRule="auto"/>
        <w:ind w:firstLine="709"/>
        <w:jc w:val="both"/>
        <w:rPr>
          <w:rFonts w:eastAsia="Calibri"/>
          <w:sz w:val="24"/>
          <w:szCs w:val="24"/>
          <w:lang w:val="uz-Cyrl-UZ" w:eastAsia="en-US"/>
        </w:rPr>
      </w:pPr>
      <w:r>
        <w:rPr>
          <w:rFonts w:eastAsia="Calibri"/>
          <w:color w:val="000000"/>
          <w:sz w:val="24"/>
          <w:szCs w:val="24"/>
          <w:lang w:val="uz-Cyrl-UZ"/>
        </w:rPr>
        <w:t xml:space="preserve">______________________________________ </w:t>
      </w:r>
      <w:r w:rsidRPr="009F5520">
        <w:rPr>
          <w:rFonts w:eastAsia="Calibri"/>
          <w:sz w:val="24"/>
          <w:szCs w:val="24"/>
          <w:lang w:val="uz-Cyrl-UZ" w:eastAsia="en-US"/>
        </w:rPr>
        <w:t xml:space="preserve">номидан низом асосида иш юритувчи ______________ бир томондан (бундан буён матнда “Бажарувчи” деб юритилади) ҳамда </w:t>
      </w:r>
      <w:r w:rsidRPr="00EA05EB">
        <w:rPr>
          <w:rFonts w:eastAsia="Calibri"/>
          <w:color w:val="000000"/>
          <w:sz w:val="24"/>
          <w:szCs w:val="24"/>
          <w:highlight w:val="yellow"/>
          <w:lang w:val="uz-Cyrl-UZ"/>
        </w:rPr>
        <w:t>Сирдарё вилоят кўз касалликлари шифохонаси</w:t>
      </w:r>
      <w:r>
        <w:rPr>
          <w:rFonts w:eastAsia="Calibri"/>
          <w:color w:val="000000"/>
          <w:sz w:val="24"/>
          <w:szCs w:val="24"/>
          <w:lang w:val="uz-Cyrl-UZ"/>
        </w:rPr>
        <w:t xml:space="preserve"> </w:t>
      </w:r>
      <w:r w:rsidRPr="009F5520">
        <w:rPr>
          <w:rFonts w:eastAsia="Calibri"/>
          <w:sz w:val="24"/>
          <w:szCs w:val="24"/>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буюртмачидан бажарилган ишни қабул қилишни асоссиз равишда рад этиш натижасида етказилган зарарни қоплашни талаб қилиш;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CB0BB5" w:rsidRPr="009F5520" w:rsidRDefault="00CB0BB5" w:rsidP="00CB0BB5">
      <w:pPr>
        <w:spacing w:line="242" w:lineRule="auto"/>
        <w:ind w:firstLine="709"/>
        <w:jc w:val="both"/>
        <w:rPr>
          <w:rFonts w:eastAsia="Calibri"/>
          <w:b/>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Pr="009F5520">
        <w:rPr>
          <w:sz w:val="24"/>
          <w:szCs w:val="24"/>
          <w:lang w:val="uz-Cyrl-UZ"/>
        </w:rPr>
        <w:t>___________</w:t>
      </w:r>
      <w:r w:rsidRPr="009F5520">
        <w:rPr>
          <w:rFonts w:eastAsia="Calibri"/>
          <w:sz w:val="24"/>
          <w:szCs w:val="24"/>
          <w:lang w:val="uz-Cyrl-UZ" w:eastAsia="en-US"/>
        </w:rPr>
        <w:t>(___________________________________) сўм, ҚҚС билан (ҚҚС сиз).</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B0BB5" w:rsidRPr="009F5520" w:rsidRDefault="00CB0BB5" w:rsidP="00CB0BB5">
      <w:pPr>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lastRenderedPageBreak/>
        <w:t>Шартномада назарда тутилган хизматлар ушбу шартномага мувофиқ ёки ушбу шартномада белгиланган муддатларда ва ҳажмларда амалга оширилади.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музокаралар йўли билан ҳал қилинмаган низолар _______________________________________________________ ҳал қилинади.</w:t>
      </w:r>
    </w:p>
    <w:p w:rsidR="00CB0BB5" w:rsidRPr="009F5520" w:rsidRDefault="00CB0BB5" w:rsidP="00CB0BB5">
      <w:pPr>
        <w:spacing w:line="242" w:lineRule="auto"/>
        <w:ind w:firstLine="709"/>
        <w:jc w:val="both"/>
        <w:rPr>
          <w:rFonts w:eastAsia="Calibri"/>
          <w:b/>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мажбуриятларини бажараётганда Томонлар, уларнинг шериклари, ишчилари ёки воситачилари пора бериш/олиш, тижорий пора олиш, </w:t>
      </w:r>
      <w:r w:rsidRPr="009F5520">
        <w:rPr>
          <w:rFonts w:eastAsia="Calibri"/>
          <w:sz w:val="24"/>
          <w:szCs w:val="24"/>
          <w:lang w:val="uz-Cyrl-UZ" w:eastAsia="en-US"/>
        </w:rPr>
        <w:lastRenderedPageBreak/>
        <w:t>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w:t>
      </w:r>
      <w:r w:rsidRPr="009F5520">
        <w:rPr>
          <w:rFonts w:eastAsia="Calibri"/>
          <w:sz w:val="24"/>
          <w:szCs w:val="24"/>
          <w:lang w:val="uz-Cyrl-UZ" w:eastAsia="en-US"/>
        </w:rPr>
        <w:lastRenderedPageBreak/>
        <w:t>бўлган низоли вазиятларнинг олдини олиш бўйича самарали чораларни қўллашни кафолатлайдилар.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IX. ШАРТНОМАНИНГ АМАЛ ҚИЛИШИ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Pr>
          <w:rFonts w:eastAsia="Calibri"/>
          <w:sz w:val="24"/>
          <w:szCs w:val="24"/>
          <w:lang w:val="uz-Cyrl-UZ" w:eastAsia="en-US"/>
        </w:rPr>
        <w:t>2</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Х. ЯКУНИЙ ҚОИДАЛАР</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CB0BB5" w:rsidRPr="009F5520" w:rsidRDefault="00CB0BB5" w:rsidP="00CB0BB5">
      <w:pPr>
        <w:spacing w:line="264" w:lineRule="auto"/>
        <w:ind w:firstLine="709"/>
        <w:rPr>
          <w:rFonts w:eastAsia="Calibri"/>
          <w:sz w:val="24"/>
          <w:szCs w:val="24"/>
          <w:lang w:val="uz-Cyrl-UZ" w:eastAsia="en-US"/>
        </w:rPr>
      </w:pPr>
    </w:p>
    <w:p w:rsidR="00CB0BB5" w:rsidRPr="009F5520" w:rsidRDefault="00CB0BB5" w:rsidP="00CB0BB5">
      <w:pPr>
        <w:spacing w:line="264" w:lineRule="auto"/>
        <w:ind w:firstLine="709"/>
        <w:rPr>
          <w:rFonts w:eastAsia="Calibri"/>
          <w:sz w:val="24"/>
          <w:szCs w:val="24"/>
          <w:lang w:val="uz-Cyrl-UZ" w:eastAsia="en-US"/>
        </w:rPr>
      </w:pPr>
    </w:p>
    <w:p w:rsidR="00CB0BB5" w:rsidRPr="009F5520" w:rsidRDefault="00CB0BB5" w:rsidP="00CB0BB5">
      <w:pPr>
        <w:spacing w:line="264" w:lineRule="auto"/>
        <w:jc w:val="center"/>
        <w:rPr>
          <w:rFonts w:eastAsia="Calibri"/>
          <w:b/>
          <w:sz w:val="24"/>
          <w:szCs w:val="24"/>
          <w:lang w:val="uz-Cyrl-UZ" w:eastAsia="en-US"/>
        </w:rPr>
      </w:pPr>
      <w:r w:rsidRPr="009F5520">
        <w:rPr>
          <w:rFonts w:eastAsia="Calibri"/>
          <w:b/>
          <w:sz w:val="24"/>
          <w:szCs w:val="24"/>
          <w:lang w:val="uz-Cyrl-UZ" w:eastAsia="en-US"/>
        </w:rPr>
        <w:t>XI. ТОМОНЛАРНИНГ РЕКВИЗИТЛАРИ ВА ИМЗОЛАРИ</w:t>
      </w:r>
    </w:p>
    <w:p w:rsidR="00CB0BB5" w:rsidRPr="009F5520" w:rsidRDefault="00CB0BB5" w:rsidP="00CB0BB5">
      <w:pPr>
        <w:spacing w:line="264" w:lineRule="auto"/>
        <w:ind w:firstLine="709"/>
        <w:jc w:val="center"/>
        <w:rPr>
          <w:rFonts w:eastAsia="Calibri"/>
          <w:b/>
          <w:sz w:val="24"/>
          <w:szCs w:val="24"/>
          <w:lang w:val="uz-Cyrl-UZ" w:eastAsia="en-US"/>
        </w:rPr>
      </w:pPr>
    </w:p>
    <w:tbl>
      <w:tblPr>
        <w:tblW w:w="9498" w:type="dxa"/>
        <w:tblLook w:val="00A0"/>
      </w:tblPr>
      <w:tblGrid>
        <w:gridCol w:w="4774"/>
        <w:gridCol w:w="4797"/>
      </w:tblGrid>
      <w:tr w:rsidR="00CB0BB5" w:rsidRPr="009F5520" w:rsidTr="00C432BD">
        <w:tc>
          <w:tcPr>
            <w:tcW w:w="4678" w:type="dxa"/>
          </w:tcPr>
          <w:p w:rsidR="00CB0BB5" w:rsidRPr="009F5520" w:rsidRDefault="00CB0BB5" w:rsidP="00C432BD">
            <w:pPr>
              <w:jc w:val="both"/>
              <w:rPr>
                <w:rFonts w:eastAsia="Calibri"/>
                <w:sz w:val="24"/>
                <w:szCs w:val="24"/>
                <w:lang w:val="uz-Cyrl-UZ" w:eastAsia="en-US"/>
              </w:rPr>
            </w:pPr>
            <w:r w:rsidRPr="009F5520">
              <w:rPr>
                <w:rFonts w:eastAsia="Calibri"/>
                <w:sz w:val="24"/>
                <w:szCs w:val="24"/>
                <w:lang w:val="uz-Cyrl-UZ" w:eastAsia="en-US"/>
              </w:rPr>
              <w:t>Бажарувчи:</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 xml:space="preserve">Банк реквизитлари: </w:t>
            </w:r>
            <w:r w:rsidRPr="009F5520">
              <w:rPr>
                <w:rFonts w:eastAsia="Calibri"/>
                <w:sz w:val="24"/>
                <w:szCs w:val="24"/>
                <w:lang w:val="uz-Cyrl-UZ" w:eastAsia="en-US"/>
              </w:rPr>
              <w:lastRenderedPageBreak/>
              <w:t>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CB0BB5" w:rsidRPr="009F5520" w:rsidRDefault="00CB0BB5" w:rsidP="00C432BD">
            <w:pPr>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CB0BB5" w:rsidRPr="009F5520" w:rsidRDefault="00CB0BB5" w:rsidP="00C432BD">
            <w:pPr>
              <w:ind w:firstLine="567"/>
              <w:jc w:val="both"/>
              <w:rPr>
                <w:rFonts w:eastAsia="Calibri"/>
                <w:b/>
                <w:bCs/>
                <w:sz w:val="24"/>
                <w:szCs w:val="24"/>
                <w:lang w:val="uz-Cyrl-UZ" w:eastAsia="en-US"/>
              </w:rPr>
            </w:pPr>
          </w:p>
          <w:p w:rsidR="00CB0BB5" w:rsidRPr="009F5520" w:rsidRDefault="00CB0BB5" w:rsidP="00C432BD">
            <w:pPr>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CB0BB5" w:rsidRPr="009F5520" w:rsidRDefault="00CB0BB5" w:rsidP="00C432BD">
            <w:pPr>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CB0BB5" w:rsidRPr="009F5520" w:rsidRDefault="00CB0BB5" w:rsidP="00C432BD">
            <w:pPr>
              <w:ind w:firstLine="567"/>
              <w:jc w:val="both"/>
              <w:rPr>
                <w:rFonts w:eastAsia="Calibri"/>
                <w:sz w:val="24"/>
                <w:szCs w:val="24"/>
                <w:lang w:val="uz-Cyrl-UZ" w:eastAsia="en-US"/>
              </w:rPr>
            </w:pPr>
          </w:p>
        </w:tc>
        <w:tc>
          <w:tcPr>
            <w:tcW w:w="4820" w:type="dxa"/>
          </w:tcPr>
          <w:p w:rsidR="00CB0BB5" w:rsidRDefault="00CB0BB5" w:rsidP="00C432BD">
            <w:pPr>
              <w:ind w:left="178"/>
              <w:jc w:val="both"/>
              <w:rPr>
                <w:rFonts w:eastAsia="Calibri"/>
                <w:sz w:val="24"/>
                <w:szCs w:val="24"/>
                <w:lang w:val="uz-Cyrl-UZ" w:eastAsia="en-US"/>
              </w:rPr>
            </w:pPr>
            <w:r w:rsidRPr="00F67440">
              <w:rPr>
                <w:rFonts w:eastAsia="Calibri"/>
                <w:sz w:val="24"/>
                <w:szCs w:val="24"/>
                <w:highlight w:val="yellow"/>
                <w:lang w:val="uz-Cyrl-UZ" w:eastAsia="en-US"/>
              </w:rPr>
              <w:lastRenderedPageBreak/>
              <w:t>Буюртмачи:</w:t>
            </w:r>
          </w:p>
          <w:p w:rsidR="00CB0BB5" w:rsidRDefault="00CB0BB5" w:rsidP="00C432BD">
            <w:pPr>
              <w:ind w:left="178"/>
              <w:jc w:val="center"/>
              <w:rPr>
                <w:rFonts w:eastAsia="Calibri"/>
                <w:color w:val="000000"/>
                <w:sz w:val="24"/>
                <w:szCs w:val="24"/>
                <w:lang w:val="uz-Cyrl-UZ"/>
              </w:rPr>
            </w:pPr>
            <w:r w:rsidRPr="003D79ED">
              <w:rPr>
                <w:rFonts w:eastAsia="Calibri"/>
                <w:color w:val="000000"/>
                <w:sz w:val="24"/>
                <w:szCs w:val="24"/>
                <w:lang w:val="uz-Cyrl-UZ"/>
              </w:rPr>
              <w:t xml:space="preserve">Сирдарё вилоят кўз касалликлари </w:t>
            </w:r>
            <w:r>
              <w:rPr>
                <w:rFonts w:eastAsia="Calibri"/>
                <w:color w:val="000000"/>
                <w:sz w:val="24"/>
                <w:szCs w:val="24"/>
                <w:lang w:val="uz-Cyrl-UZ"/>
              </w:rPr>
              <w:t xml:space="preserve">  </w:t>
            </w:r>
            <w:r w:rsidRPr="003D79ED">
              <w:rPr>
                <w:rFonts w:eastAsia="Calibri"/>
                <w:color w:val="000000"/>
                <w:sz w:val="24"/>
                <w:szCs w:val="24"/>
                <w:lang w:val="uz-Cyrl-UZ"/>
              </w:rPr>
              <w:t>шифохонас</w:t>
            </w:r>
            <w:r>
              <w:rPr>
                <w:rFonts w:eastAsia="Calibri"/>
                <w:color w:val="000000"/>
                <w:sz w:val="24"/>
                <w:szCs w:val="24"/>
                <w:lang w:val="uz-Cyrl-UZ"/>
              </w:rPr>
              <w:t>и</w:t>
            </w:r>
          </w:p>
          <w:p w:rsidR="00CB0BB5" w:rsidRPr="00AE47DC" w:rsidRDefault="00CB0BB5" w:rsidP="00C432BD">
            <w:pPr>
              <w:pBdr>
                <w:top w:val="single" w:sz="12" w:space="1" w:color="auto"/>
                <w:bottom w:val="single" w:sz="12" w:space="1" w:color="auto"/>
              </w:pBdr>
              <w:rPr>
                <w:rFonts w:eastAsia="Calibri"/>
                <w:color w:val="000000"/>
                <w:sz w:val="24"/>
                <w:szCs w:val="24"/>
                <w:lang w:val="uz-Cyrl-UZ"/>
              </w:rPr>
            </w:pP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Р/с:______________________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t>МФО _____________</w:t>
            </w:r>
          </w:p>
          <w:p w:rsidR="00CB0BB5" w:rsidRPr="009F5520" w:rsidRDefault="00CB0BB5" w:rsidP="00C432BD">
            <w:pPr>
              <w:ind w:left="178"/>
              <w:jc w:val="both"/>
              <w:rPr>
                <w:rFonts w:eastAsia="Calibri"/>
                <w:sz w:val="24"/>
                <w:szCs w:val="24"/>
                <w:lang w:val="uz-Cyrl-UZ" w:eastAsia="en-US"/>
              </w:rPr>
            </w:pPr>
            <w:r w:rsidRPr="009F5520">
              <w:rPr>
                <w:rFonts w:eastAsia="Calibri"/>
                <w:sz w:val="24"/>
                <w:szCs w:val="24"/>
                <w:lang w:val="uz-Cyrl-UZ" w:eastAsia="en-US"/>
              </w:rPr>
              <w:lastRenderedPageBreak/>
              <w:t>ИНН: _____________________________</w:t>
            </w:r>
          </w:p>
          <w:p w:rsidR="00CB0BB5" w:rsidRPr="009F5520" w:rsidRDefault="00CB0BB5" w:rsidP="00C432BD">
            <w:pPr>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CB0BB5" w:rsidRPr="009F5520" w:rsidRDefault="00CB0BB5" w:rsidP="00C432BD">
            <w:pPr>
              <w:ind w:firstLine="567"/>
              <w:jc w:val="both"/>
              <w:rPr>
                <w:rFonts w:eastAsia="Calibri"/>
                <w:b/>
                <w:bCs/>
                <w:sz w:val="24"/>
                <w:szCs w:val="24"/>
                <w:lang w:val="uz-Cyrl-UZ" w:eastAsia="en-US"/>
              </w:rPr>
            </w:pPr>
          </w:p>
          <w:p w:rsidR="00CB0BB5" w:rsidRPr="009F5520" w:rsidRDefault="00CB0BB5" w:rsidP="00C432BD">
            <w:pPr>
              <w:ind w:firstLine="567"/>
              <w:jc w:val="both"/>
              <w:rPr>
                <w:rFonts w:eastAsia="Calibri"/>
                <w:b/>
                <w:bCs/>
                <w:sz w:val="24"/>
                <w:szCs w:val="24"/>
                <w:lang w:val="uz-Cyrl-UZ" w:eastAsia="en-US"/>
              </w:rPr>
            </w:pPr>
          </w:p>
          <w:p w:rsidR="00CB0BB5" w:rsidRPr="009F5520" w:rsidRDefault="00CB0BB5" w:rsidP="00C432BD">
            <w:pPr>
              <w:ind w:firstLine="567"/>
              <w:jc w:val="both"/>
              <w:rPr>
                <w:rFonts w:eastAsia="Calibri"/>
                <w:b/>
                <w:bCs/>
                <w:sz w:val="24"/>
                <w:szCs w:val="24"/>
                <w:lang w:val="uz-Cyrl-UZ" w:eastAsia="en-US"/>
              </w:rPr>
            </w:pPr>
          </w:p>
          <w:p w:rsidR="00CB0BB5" w:rsidRPr="009F5520" w:rsidRDefault="00CB0BB5" w:rsidP="00C432BD">
            <w:pPr>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CB0BB5" w:rsidRPr="009F5520" w:rsidRDefault="00CB0BB5" w:rsidP="00C432BD">
            <w:pPr>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CB0BB5" w:rsidRPr="009F5520" w:rsidRDefault="00CB0BB5" w:rsidP="00CB0BB5">
      <w:pPr>
        <w:spacing w:line="264" w:lineRule="auto"/>
        <w:rPr>
          <w:rFonts w:eastAsia="Calibri"/>
          <w:b/>
          <w:sz w:val="24"/>
          <w:szCs w:val="24"/>
          <w:lang w:val="uz-Cyrl-UZ" w:eastAsia="en-US"/>
        </w:rPr>
      </w:pPr>
    </w:p>
    <w:p w:rsidR="00CB0BB5" w:rsidRPr="009F5520" w:rsidRDefault="00CB0BB5" w:rsidP="00CB0BB5">
      <w:pPr>
        <w:spacing w:after="160" w:line="259" w:lineRule="auto"/>
        <w:rPr>
          <w:sz w:val="24"/>
          <w:szCs w:val="24"/>
          <w:lang w:val="uz-Cyrl-UZ"/>
        </w:rPr>
      </w:pPr>
      <w:r w:rsidRPr="009F5520">
        <w:rPr>
          <w:rFonts w:eastAsia="Calibri"/>
          <w:b/>
          <w:sz w:val="24"/>
          <w:szCs w:val="24"/>
          <w:lang w:val="uz-Cyrl-UZ" w:eastAsia="en-US"/>
        </w:rPr>
        <w:br w:type="page"/>
      </w:r>
      <w:r w:rsidRPr="009F5520">
        <w:rPr>
          <w:sz w:val="24"/>
          <w:szCs w:val="24"/>
          <w:lang w:val="uz-Cyrl-UZ"/>
        </w:rPr>
        <w:lastRenderedPageBreak/>
        <w:t>202</w:t>
      </w:r>
      <w:r>
        <w:rPr>
          <w:sz w:val="24"/>
          <w:szCs w:val="24"/>
          <w:lang w:val="uz-Cyrl-UZ"/>
        </w:rPr>
        <w:t>2</w:t>
      </w:r>
      <w:r w:rsidRPr="009F5520">
        <w:rPr>
          <w:sz w:val="24"/>
          <w:szCs w:val="24"/>
          <w:lang w:val="uz-Cyrl-UZ"/>
        </w:rPr>
        <w:t xml:space="preserve"> йил “______”_______________  </w:t>
      </w:r>
    </w:p>
    <w:p w:rsidR="00CB0BB5" w:rsidRPr="009F5520" w:rsidRDefault="00CB0BB5" w:rsidP="00CB0BB5">
      <w:pPr>
        <w:ind w:left="3261"/>
        <w:jc w:val="right"/>
        <w:rPr>
          <w:sz w:val="24"/>
          <w:szCs w:val="24"/>
          <w:lang w:val="uz-Cyrl-UZ"/>
        </w:rPr>
      </w:pPr>
      <w:r w:rsidRPr="009F5520">
        <w:rPr>
          <w:sz w:val="24"/>
          <w:szCs w:val="24"/>
          <w:lang w:val="uz-Cyrl-UZ"/>
        </w:rPr>
        <w:t xml:space="preserve">                                     __________-сон шартномага _____-илова </w:t>
      </w:r>
    </w:p>
    <w:p w:rsidR="00CB0BB5" w:rsidRPr="009F5520" w:rsidRDefault="00CB0BB5" w:rsidP="00CB0BB5">
      <w:pPr>
        <w:ind w:left="4394"/>
        <w:jc w:val="center"/>
        <w:rPr>
          <w:sz w:val="24"/>
          <w:szCs w:val="24"/>
          <w:lang w:val="uz-Cyrl-UZ"/>
        </w:rPr>
      </w:pPr>
    </w:p>
    <w:p w:rsidR="00CB0BB5" w:rsidRPr="009F5520" w:rsidRDefault="00CB0BB5" w:rsidP="00CB0BB5">
      <w:pPr>
        <w:ind w:left="4394"/>
        <w:jc w:val="center"/>
        <w:rPr>
          <w:sz w:val="24"/>
          <w:szCs w:val="24"/>
          <w:lang w:val="uz-Cyrl-UZ"/>
        </w:rPr>
      </w:pPr>
    </w:p>
    <w:p w:rsidR="00CB0BB5" w:rsidRPr="009F5520" w:rsidRDefault="00CB0BB5" w:rsidP="00CB0BB5">
      <w:pPr>
        <w:jc w:val="center"/>
        <w:rPr>
          <w:b/>
          <w:sz w:val="24"/>
          <w:szCs w:val="24"/>
          <w:lang w:val="uz-Cyrl-UZ"/>
        </w:rPr>
      </w:pPr>
      <w:r w:rsidRPr="009F5520">
        <w:rPr>
          <w:b/>
          <w:sz w:val="24"/>
          <w:szCs w:val="24"/>
          <w:lang w:val="uz-Cyrl-UZ"/>
        </w:rPr>
        <w:t xml:space="preserve">Коррупцияга қарши курашиш бўйича </w:t>
      </w:r>
    </w:p>
    <w:p w:rsidR="00CB0BB5" w:rsidRPr="009F5520" w:rsidRDefault="00CB0BB5" w:rsidP="00CB0BB5">
      <w:pPr>
        <w:jc w:val="center"/>
        <w:rPr>
          <w:b/>
          <w:sz w:val="24"/>
          <w:szCs w:val="24"/>
          <w:lang w:val="uz-Cyrl-UZ"/>
        </w:rPr>
      </w:pPr>
      <w:r w:rsidRPr="009F5520">
        <w:rPr>
          <w:b/>
          <w:sz w:val="24"/>
          <w:szCs w:val="24"/>
          <w:lang w:val="uz-Cyrl-UZ"/>
        </w:rPr>
        <w:t>АСОСИЙ ШАРТЛАР</w:t>
      </w:r>
    </w:p>
    <w:p w:rsidR="00CB0BB5" w:rsidRPr="009F5520" w:rsidRDefault="00CB0BB5" w:rsidP="00CB0BB5">
      <w:pPr>
        <w:jc w:val="center"/>
        <w:rPr>
          <w:sz w:val="24"/>
          <w:szCs w:val="24"/>
          <w:lang w:val="uz-Cyrl-UZ"/>
        </w:rPr>
      </w:pPr>
    </w:p>
    <w:p w:rsidR="00CB0BB5" w:rsidRPr="009F5520" w:rsidRDefault="00CB0BB5" w:rsidP="00CB0BB5">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CB0BB5" w:rsidRPr="009F5520" w:rsidRDefault="00CB0BB5" w:rsidP="00CB0BB5">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CB0BB5" w:rsidRPr="009F5520" w:rsidRDefault="00CB0BB5" w:rsidP="00CB0BB5">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CB0BB5" w:rsidRPr="009F5520" w:rsidRDefault="00CB0BB5" w:rsidP="00CB0BB5">
      <w:pPr>
        <w:tabs>
          <w:tab w:val="left" w:pos="994"/>
        </w:tabs>
        <w:spacing w:after="120" w:line="288" w:lineRule="auto"/>
        <w:ind w:firstLine="709"/>
        <w:jc w:val="both"/>
        <w:rPr>
          <w:sz w:val="24"/>
          <w:szCs w:val="24"/>
        </w:rPr>
      </w:pPr>
      <w:proofErr w:type="spellStart"/>
      <w:proofErr w:type="gramStart"/>
      <w:r w:rsidRPr="009F5520">
        <w:rPr>
          <w:sz w:val="24"/>
          <w:szCs w:val="24"/>
        </w:rPr>
        <w:t>Telegram-канали</w:t>
      </w:r>
      <w:proofErr w:type="spellEnd"/>
      <w:proofErr w:type="gramEnd"/>
      <w:r w:rsidRPr="009F5520">
        <w:rPr>
          <w:sz w:val="24"/>
          <w:szCs w:val="24"/>
        </w:rPr>
        <w:t xml:space="preserve"> («@</w:t>
      </w:r>
      <w:proofErr w:type="spellStart"/>
      <w:r w:rsidRPr="009F5520">
        <w:rPr>
          <w:sz w:val="24"/>
          <w:szCs w:val="24"/>
        </w:rPr>
        <w:t>anticorbot</w:t>
      </w:r>
      <w:proofErr w:type="spellEnd"/>
      <w:r w:rsidRPr="009F5520">
        <w:rPr>
          <w:sz w:val="24"/>
          <w:szCs w:val="24"/>
        </w:rPr>
        <w:t xml:space="preserve">»); </w:t>
      </w:r>
    </w:p>
    <w:p w:rsidR="00CB0BB5" w:rsidRPr="009F5520" w:rsidRDefault="00CB0BB5" w:rsidP="00CB0BB5">
      <w:pPr>
        <w:tabs>
          <w:tab w:val="left" w:pos="994"/>
        </w:tabs>
        <w:spacing w:after="120" w:line="288" w:lineRule="auto"/>
        <w:ind w:firstLine="709"/>
        <w:jc w:val="both"/>
        <w:rPr>
          <w:sz w:val="24"/>
          <w:szCs w:val="24"/>
        </w:rPr>
      </w:pPr>
      <w:proofErr w:type="spellStart"/>
      <w:proofErr w:type="gramStart"/>
      <w:r w:rsidRPr="009F5520">
        <w:rPr>
          <w:sz w:val="24"/>
          <w:szCs w:val="24"/>
        </w:rPr>
        <w:t>A</w:t>
      </w:r>
      <w:proofErr w:type="gramEnd"/>
      <w:r w:rsidRPr="009F5520">
        <w:rPr>
          <w:sz w:val="24"/>
          <w:szCs w:val="24"/>
        </w:rPr>
        <w:t>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w:t>
      </w:r>
      <w:proofErr w:type="spellStart"/>
      <w:r w:rsidRPr="009F5520">
        <w:rPr>
          <w:sz w:val="24"/>
          <w:szCs w:val="24"/>
        </w:rPr>
        <w:t>веб-сайтида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CB0BB5" w:rsidRPr="009F5520" w:rsidRDefault="00CB0BB5" w:rsidP="00CB0BB5">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CB0BB5" w:rsidRPr="009F5520" w:rsidRDefault="00CB0BB5" w:rsidP="00CB0BB5">
      <w:pPr>
        <w:spacing w:line="288" w:lineRule="auto"/>
        <w:ind w:firstLine="709"/>
        <w:jc w:val="both"/>
        <w:rPr>
          <w:sz w:val="24"/>
          <w:szCs w:val="24"/>
          <w:lang w:val="uz-Cyrl-UZ"/>
        </w:rPr>
      </w:pPr>
    </w:p>
    <w:p w:rsidR="00CB0BB5" w:rsidRPr="009F5520" w:rsidRDefault="00CB0BB5" w:rsidP="00CB0BB5">
      <w:pPr>
        <w:spacing w:line="288" w:lineRule="auto"/>
        <w:ind w:firstLine="709"/>
        <w:jc w:val="both"/>
        <w:rPr>
          <w:sz w:val="24"/>
          <w:szCs w:val="24"/>
          <w:lang w:val="uz-Cyrl-UZ"/>
        </w:rPr>
      </w:pPr>
    </w:p>
    <w:tbl>
      <w:tblPr>
        <w:tblW w:w="0" w:type="auto"/>
        <w:tblLook w:val="04A0"/>
      </w:tblPr>
      <w:tblGrid>
        <w:gridCol w:w="4874"/>
        <w:gridCol w:w="4697"/>
      </w:tblGrid>
      <w:tr w:rsidR="00CB0BB5" w:rsidRPr="009F5520" w:rsidTr="00C432BD">
        <w:tc>
          <w:tcPr>
            <w:tcW w:w="4952" w:type="dxa"/>
            <w:shd w:val="clear" w:color="auto" w:fill="auto"/>
          </w:tcPr>
          <w:p w:rsidR="00CB0BB5" w:rsidRPr="009F5520" w:rsidRDefault="00CB0BB5" w:rsidP="00C432BD">
            <w:pPr>
              <w:tabs>
                <w:tab w:val="left" w:pos="994"/>
              </w:tabs>
              <w:spacing w:line="288" w:lineRule="auto"/>
              <w:jc w:val="center"/>
              <w:rPr>
                <w:sz w:val="24"/>
                <w:szCs w:val="24"/>
              </w:rPr>
            </w:pPr>
            <w:proofErr w:type="spellStart"/>
            <w:r w:rsidRPr="009F5520">
              <w:rPr>
                <w:sz w:val="24"/>
                <w:szCs w:val="24"/>
              </w:rPr>
              <w:t>Бажарувчи</w:t>
            </w:r>
            <w:proofErr w:type="spellEnd"/>
            <w:r w:rsidRPr="009F5520">
              <w:rPr>
                <w:sz w:val="24"/>
                <w:szCs w:val="24"/>
              </w:rPr>
              <w:t>:</w:t>
            </w:r>
          </w:p>
          <w:p w:rsidR="00CB0BB5" w:rsidRPr="009F5520" w:rsidRDefault="00CB0BB5" w:rsidP="00C432BD">
            <w:pPr>
              <w:tabs>
                <w:tab w:val="left" w:pos="994"/>
              </w:tabs>
              <w:spacing w:line="288" w:lineRule="auto"/>
              <w:jc w:val="center"/>
              <w:rPr>
                <w:sz w:val="24"/>
                <w:szCs w:val="24"/>
              </w:rPr>
            </w:pPr>
            <w:r w:rsidRPr="009F5520">
              <w:rPr>
                <w:sz w:val="24"/>
                <w:szCs w:val="24"/>
              </w:rPr>
              <w:t>_________________________________</w:t>
            </w:r>
          </w:p>
          <w:p w:rsidR="00CB0BB5" w:rsidRPr="009F5520" w:rsidRDefault="00CB0BB5" w:rsidP="00C432BD">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CB0BB5" w:rsidRPr="009F5520" w:rsidRDefault="00CB0BB5" w:rsidP="00C432BD">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CB0BB5" w:rsidRPr="009F5520" w:rsidRDefault="00CB0BB5" w:rsidP="00C432BD">
            <w:pPr>
              <w:tabs>
                <w:tab w:val="left" w:pos="994"/>
              </w:tabs>
              <w:spacing w:line="288" w:lineRule="auto"/>
              <w:jc w:val="center"/>
              <w:rPr>
                <w:sz w:val="24"/>
                <w:szCs w:val="24"/>
              </w:rPr>
            </w:pPr>
            <w:proofErr w:type="spellStart"/>
            <w:r w:rsidRPr="009F5520">
              <w:rPr>
                <w:sz w:val="24"/>
                <w:szCs w:val="24"/>
              </w:rPr>
              <w:t>Сирдарё</w:t>
            </w:r>
            <w:proofErr w:type="spellEnd"/>
            <w:r w:rsidRPr="009F5520">
              <w:rPr>
                <w:sz w:val="24"/>
                <w:szCs w:val="24"/>
              </w:rPr>
              <w:t xml:space="preserve"> </w:t>
            </w:r>
            <w:proofErr w:type="spellStart"/>
            <w:r w:rsidRPr="009F5520">
              <w:rPr>
                <w:sz w:val="24"/>
                <w:szCs w:val="24"/>
              </w:rPr>
              <w:t>вилояти</w:t>
            </w:r>
            <w:proofErr w:type="spellEnd"/>
            <w:r w:rsidRPr="009F5520">
              <w:rPr>
                <w:sz w:val="24"/>
                <w:szCs w:val="24"/>
              </w:rPr>
              <w:t xml:space="preserve"> </w:t>
            </w:r>
            <w:proofErr w:type="spellStart"/>
            <w:r w:rsidRPr="009F5520">
              <w:rPr>
                <w:sz w:val="24"/>
                <w:szCs w:val="24"/>
              </w:rPr>
              <w:t>хокимлиги</w:t>
            </w:r>
            <w:proofErr w:type="spellEnd"/>
          </w:p>
          <w:p w:rsidR="00CB0BB5" w:rsidRPr="009F5520" w:rsidRDefault="00CB0BB5" w:rsidP="00C432BD">
            <w:pPr>
              <w:tabs>
                <w:tab w:val="left" w:pos="994"/>
              </w:tabs>
              <w:spacing w:line="288" w:lineRule="auto"/>
              <w:jc w:val="center"/>
              <w:rPr>
                <w:sz w:val="24"/>
                <w:szCs w:val="24"/>
              </w:rPr>
            </w:pPr>
            <w:r w:rsidRPr="009F5520">
              <w:rPr>
                <w:sz w:val="24"/>
                <w:szCs w:val="24"/>
              </w:rPr>
              <w:t>__________________ /______________/</w:t>
            </w:r>
          </w:p>
        </w:tc>
      </w:tr>
    </w:tbl>
    <w:p w:rsidR="00CB0BB5" w:rsidRPr="009F5520" w:rsidRDefault="00CB0BB5" w:rsidP="00CB0BB5">
      <w:pPr>
        <w:tabs>
          <w:tab w:val="left" w:pos="994"/>
        </w:tabs>
        <w:spacing w:line="288" w:lineRule="auto"/>
        <w:ind w:firstLine="709"/>
        <w:jc w:val="both"/>
        <w:rPr>
          <w:sz w:val="24"/>
          <w:szCs w:val="24"/>
        </w:rPr>
      </w:pPr>
    </w:p>
    <w:p w:rsidR="00CB0BB5" w:rsidRPr="009F5520" w:rsidRDefault="00CB0BB5" w:rsidP="00CB0BB5">
      <w:pPr>
        <w:pStyle w:val="rvps4"/>
        <w:rPr>
          <w:color w:val="000000"/>
        </w:rPr>
      </w:pPr>
    </w:p>
    <w:p w:rsidR="00CB0BB5" w:rsidRPr="009F5520" w:rsidRDefault="00CB0BB5" w:rsidP="00CB0BB5">
      <w:pPr>
        <w:jc w:val="center"/>
        <w:rPr>
          <w:sz w:val="24"/>
          <w:szCs w:val="24"/>
          <w:lang w:val="uz-Cyrl-UZ"/>
        </w:rPr>
      </w:pPr>
    </w:p>
    <w:p w:rsidR="00CB0BB5" w:rsidRPr="009F5520" w:rsidRDefault="00CB0BB5" w:rsidP="00CB0BB5">
      <w:pPr>
        <w:jc w:val="center"/>
        <w:rPr>
          <w:sz w:val="24"/>
          <w:szCs w:val="24"/>
          <w:lang w:val="uz-Cyrl-UZ"/>
        </w:rPr>
      </w:pPr>
    </w:p>
    <w:p w:rsidR="00CB0BB5" w:rsidRPr="009F5520" w:rsidRDefault="00CB0BB5" w:rsidP="00CB0BB5">
      <w:pPr>
        <w:jc w:val="center"/>
        <w:rPr>
          <w:sz w:val="24"/>
          <w:szCs w:val="24"/>
          <w:lang w:val="uz-Cyrl-UZ"/>
        </w:rPr>
      </w:pPr>
    </w:p>
    <w:p w:rsidR="00CB0BB5" w:rsidRPr="009F5520" w:rsidRDefault="00CB0BB5" w:rsidP="00CB0BB5">
      <w:pPr>
        <w:jc w:val="center"/>
        <w:rPr>
          <w:sz w:val="24"/>
          <w:szCs w:val="24"/>
          <w:lang w:val="uz-Cyrl-UZ"/>
        </w:rPr>
      </w:pPr>
    </w:p>
    <w:p w:rsidR="001D7375" w:rsidRDefault="001D7375"/>
    <w:sectPr w:rsidR="001D7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B0BB5"/>
    <w:rsid w:val="001D7375"/>
    <w:rsid w:val="00CB0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CB0BB5"/>
    <w:pPr>
      <w:spacing w:after="0" w:line="240" w:lineRule="auto"/>
      <w:ind w:firstLine="570"/>
      <w:jc w:val="both"/>
    </w:pPr>
    <w:rPr>
      <w:rFonts w:ascii="Times New Roman" w:eastAsia="Times New Roman" w:hAnsi="Times New Roman" w:cs="Times New Roman"/>
      <w:sz w:val="24"/>
      <w:szCs w:val="24"/>
    </w:rPr>
  </w:style>
  <w:style w:type="paragraph" w:styleId="a3">
    <w:name w:val="List Paragraph"/>
    <w:aliases w:val="Bullet List,FooterText,numbered"/>
    <w:basedOn w:val="a"/>
    <w:uiPriority w:val="34"/>
    <w:qFormat/>
    <w:rsid w:val="00CB0BB5"/>
    <w:pPr>
      <w:spacing w:after="160" w:line="259" w:lineRule="auto"/>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2549</Words>
  <Characters>14532</Characters>
  <Application>Microsoft Office Word</Application>
  <DocSecurity>0</DocSecurity>
  <Lines>121</Lines>
  <Paragraphs>34</Paragraphs>
  <ScaleCrop>false</ScaleCrop>
  <Company>Reanimator Extreme Edition</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2022-02-11T06:07:00Z</dcterms:created>
  <dcterms:modified xsi:type="dcterms:W3CDTF">2022-02-11T06:13:00Z</dcterms:modified>
</cp:coreProperties>
</file>