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AA47B6" w14:textId="77777777" w:rsidR="00CC63DF" w:rsidRDefault="00CC63DF" w:rsidP="00CC63DF">
      <w:pPr>
        <w:spacing w:before="60" w:after="60"/>
        <w:jc w:val="center"/>
        <w:rPr>
          <w:sz w:val="28"/>
          <w:szCs w:val="28"/>
        </w:rPr>
      </w:pPr>
      <w:r>
        <w:rPr>
          <w:b/>
          <w:i/>
        </w:rPr>
        <w:t>Проект Договора</w:t>
      </w:r>
    </w:p>
    <w:p w14:paraId="258DF0E1" w14:textId="77777777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ДОГОВОР № </w:t>
      </w:r>
    </w:p>
    <w:p w14:paraId="515EA075" w14:textId="77777777" w:rsidR="00CC63DF" w:rsidRDefault="00CC63DF" w:rsidP="00CC63DF">
      <w:pPr>
        <w:ind w:right="178"/>
        <w:jc w:val="center"/>
        <w:rPr>
          <w:b/>
          <w:bCs/>
        </w:rPr>
      </w:pPr>
      <w:r>
        <w:rPr>
          <w:b/>
          <w:bCs/>
        </w:rPr>
        <w:t xml:space="preserve">на оказание услуг по техническому </w:t>
      </w:r>
      <w:proofErr w:type="gramStart"/>
      <w:r>
        <w:rPr>
          <w:b/>
          <w:bCs/>
        </w:rPr>
        <w:t>обслуживанию  систем</w:t>
      </w:r>
      <w:proofErr w:type="gramEnd"/>
      <w:r>
        <w:rPr>
          <w:b/>
          <w:bCs/>
        </w:rPr>
        <w:t xml:space="preserve"> пожарной сигнализации »  на  2022 год</w:t>
      </w:r>
    </w:p>
    <w:p w14:paraId="363E959A" w14:textId="77777777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19FDFA68" w14:textId="108E8EB6" w:rsidR="00CC63DF" w:rsidRDefault="00CC63DF" w:rsidP="00CC63DF">
      <w:pPr>
        <w:pStyle w:val="a5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г.Ташкент</w:t>
      </w:r>
      <w:proofErr w:type="spellEnd"/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</w:t>
      </w:r>
      <w:r>
        <w:rPr>
          <w:rFonts w:ascii="Times New Roman" w:hAnsi="Times New Roman"/>
          <w:sz w:val="24"/>
          <w:szCs w:val="24"/>
        </w:rPr>
        <w:tab/>
        <w:t xml:space="preserve">             "___" ________ </w:t>
      </w:r>
      <w:r>
        <w:rPr>
          <w:rFonts w:ascii="Times New Roman" w:hAnsi="Times New Roman"/>
          <w:sz w:val="24"/>
          <w:szCs w:val="24"/>
          <w:u w:val="single"/>
        </w:rPr>
        <w:t>20___г</w:t>
      </w:r>
      <w:r>
        <w:rPr>
          <w:rFonts w:ascii="Times New Roman" w:hAnsi="Times New Roman"/>
          <w:sz w:val="24"/>
          <w:szCs w:val="24"/>
        </w:rPr>
        <w:t>.</w:t>
      </w:r>
    </w:p>
    <w:p w14:paraId="3F7C29DE" w14:textId="77777777" w:rsidR="00CC63DF" w:rsidRDefault="00CC63DF" w:rsidP="00CC63DF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uz-Cyrl-UZ"/>
        </w:rPr>
        <w:t xml:space="preserve">           </w:t>
      </w:r>
      <w:r w:rsidRPr="00845723">
        <w:rPr>
          <w:rFonts w:ascii="Times New Roman" w:hAnsi="Times New Roman"/>
          <w:sz w:val="24"/>
          <w:szCs w:val="24"/>
          <w:lang w:val="uz-Cyrl-UZ"/>
        </w:rPr>
        <w:t>ООО “</w:t>
      </w:r>
      <w:r w:rsidRPr="00845723">
        <w:rPr>
          <w:rFonts w:ascii="Times New Roman" w:hAnsi="Times New Roman"/>
          <w:bCs/>
          <w:sz w:val="24"/>
          <w:szCs w:val="24"/>
          <w:lang w:val="uz-Cyrl-UZ"/>
        </w:rPr>
        <w:t>Iste’molda bo’lgan transport</w:t>
      </w:r>
      <w:r w:rsidRPr="008F7FF1">
        <w:rPr>
          <w:rFonts w:ascii="Times New Roman" w:hAnsi="Times New Roman"/>
          <w:bCs/>
          <w:sz w:val="24"/>
          <w:szCs w:val="24"/>
          <w:lang w:val="uz-Cyrl-UZ"/>
        </w:rPr>
        <w:t xml:space="preserve"> vositalari va ehtiyot qismlari </w:t>
      </w:r>
      <w:r w:rsidRPr="008F7FF1">
        <w:rPr>
          <w:rFonts w:ascii="Times New Roman" w:hAnsi="Times New Roman"/>
          <w:sz w:val="24"/>
          <w:szCs w:val="24"/>
          <w:lang w:val="uz-Cyrl-UZ"/>
        </w:rPr>
        <w:t>Sergeli bozori»</w:t>
      </w:r>
      <w:r>
        <w:rPr>
          <w:rFonts w:ascii="Times New Roman" w:hAnsi="Times New Roman"/>
          <w:sz w:val="24"/>
          <w:szCs w:val="24"/>
        </w:rPr>
        <w:t xml:space="preserve">,  именуемый в дальнейшем "Заказчик", в лице  директора  </w:t>
      </w:r>
      <w:r>
        <w:rPr>
          <w:rFonts w:ascii="Times New Roman" w:hAnsi="Times New Roman"/>
          <w:sz w:val="24"/>
          <w:szCs w:val="24"/>
          <w:lang w:val="uz-Cyrl-UZ"/>
        </w:rPr>
        <w:t>Н.Н.Эгамбердиева</w:t>
      </w:r>
      <w:r>
        <w:rPr>
          <w:rFonts w:ascii="Times New Roman" w:hAnsi="Times New Roman"/>
          <w:sz w:val="24"/>
          <w:szCs w:val="24"/>
        </w:rPr>
        <w:t>,  действующего на основании «Устава», с одной стороны и ____________________ ,  именуемое в дальнейшем "Исполнитель", в лице директора  __________  действующего на основании «Устава», с другой стороны, заключили настоящий договор, в соответствии с решением конкурсной комиссии  (протокол № ____ от _______2022 г.), о нижеследующем:</w:t>
      </w:r>
    </w:p>
    <w:p w14:paraId="195F0B6F" w14:textId="77777777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1.ПРЕДМЕТ ДОГОВОРА</w:t>
      </w:r>
    </w:p>
    <w:p w14:paraId="6E46565F" w14:textId="77777777" w:rsidR="00CC63DF" w:rsidRDefault="00CC63DF" w:rsidP="00CC63DF">
      <w:pPr>
        <w:pStyle w:val="a5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 «ЗАКАЗЧИК» поручает, а «ИСПОЛНИТЕЛЬ» принимает на себя обязательства </w:t>
      </w:r>
      <w:r>
        <w:rPr>
          <w:rFonts w:ascii="Times New Roman" w:hAnsi="Times New Roman"/>
          <w:bCs/>
          <w:sz w:val="24"/>
          <w:szCs w:val="24"/>
        </w:rPr>
        <w:t xml:space="preserve">на оказание услуг по техническому обслуживанию </w:t>
      </w:r>
      <w:r>
        <w:rPr>
          <w:rFonts w:ascii="Times New Roman" w:hAnsi="Times New Roman"/>
          <w:sz w:val="24"/>
          <w:szCs w:val="24"/>
        </w:rPr>
        <w:t>(в том числе оперативное обслуживание, выполнение планово-предупредительного ремонта)</w:t>
      </w:r>
      <w:r>
        <w:rPr>
          <w:rFonts w:ascii="Times New Roman" w:hAnsi="Times New Roman"/>
          <w:bCs/>
          <w:sz w:val="24"/>
          <w:szCs w:val="24"/>
        </w:rPr>
        <w:t xml:space="preserve">систем пожарной сигнализации на территории ООО </w:t>
      </w:r>
      <w:r w:rsidRPr="00845723">
        <w:rPr>
          <w:rFonts w:ascii="Times New Roman" w:hAnsi="Times New Roman"/>
          <w:sz w:val="24"/>
          <w:szCs w:val="24"/>
          <w:lang w:val="uz-Cyrl-UZ"/>
        </w:rPr>
        <w:t>“</w:t>
      </w:r>
      <w:r w:rsidRPr="00845723">
        <w:rPr>
          <w:rFonts w:ascii="Times New Roman" w:hAnsi="Times New Roman"/>
          <w:bCs/>
          <w:sz w:val="24"/>
          <w:szCs w:val="24"/>
          <w:lang w:val="uz-Cyrl-UZ"/>
        </w:rPr>
        <w:t>Iste’molda bo’lgan transport</w:t>
      </w:r>
      <w:r w:rsidRPr="008F7FF1">
        <w:rPr>
          <w:rFonts w:ascii="Times New Roman" w:hAnsi="Times New Roman"/>
          <w:bCs/>
          <w:sz w:val="24"/>
          <w:szCs w:val="24"/>
          <w:lang w:val="uz-Cyrl-UZ"/>
        </w:rPr>
        <w:t xml:space="preserve"> vositalari va ehtiyot qismlari </w:t>
      </w:r>
      <w:r w:rsidRPr="008F7FF1">
        <w:rPr>
          <w:rFonts w:ascii="Times New Roman" w:hAnsi="Times New Roman"/>
          <w:sz w:val="24"/>
          <w:szCs w:val="24"/>
          <w:lang w:val="uz-Cyrl-UZ"/>
        </w:rPr>
        <w:t>Sergeli bozori»</w:t>
      </w:r>
      <w:r>
        <w:rPr>
          <w:rFonts w:ascii="Times New Roman" w:hAnsi="Times New Roman"/>
          <w:sz w:val="24"/>
          <w:szCs w:val="24"/>
          <w:lang w:val="uz-Cyrl-UZ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по адресу  г. Ташкент,  </w:t>
      </w:r>
      <w:proofErr w:type="spellStart"/>
      <w:r>
        <w:rPr>
          <w:rFonts w:ascii="Times New Roman" w:hAnsi="Times New Roman"/>
          <w:sz w:val="24"/>
          <w:szCs w:val="24"/>
        </w:rPr>
        <w:t>Сергелийский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 массив Сергели-6 </w:t>
      </w:r>
      <w:proofErr w:type="spellStart"/>
      <w:r>
        <w:rPr>
          <w:rFonts w:ascii="Times New Roman" w:hAnsi="Times New Roman"/>
          <w:sz w:val="24"/>
          <w:szCs w:val="24"/>
        </w:rPr>
        <w:t>ул.Янги</w:t>
      </w:r>
      <w:proofErr w:type="spellEnd"/>
      <w:r>
        <w:rPr>
          <w:rFonts w:ascii="Times New Roman" w:hAnsi="Times New Roman"/>
          <w:sz w:val="24"/>
          <w:szCs w:val="24"/>
        </w:rPr>
        <w:t xml:space="preserve"> сергели-3, согласно перечня установленного оборудования, указанного в приложении №2 к настоящему договору.                                                                                                                                     </w:t>
      </w:r>
    </w:p>
    <w:p w14:paraId="1B6C6B6E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Начало работ _____________ г.                                                                                                                                           Окончание работ 31.12.2022 </w:t>
      </w:r>
      <w:r>
        <w:rPr>
          <w:rFonts w:ascii="Times New Roman" w:hAnsi="Times New Roman"/>
          <w:sz w:val="24"/>
          <w:szCs w:val="24"/>
          <w:u w:val="single"/>
        </w:rPr>
        <w:t>г</w:t>
      </w:r>
      <w:r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Срок действия договора с ____________ г. по 31.12.</w:t>
      </w:r>
      <w:r>
        <w:rPr>
          <w:rFonts w:ascii="Times New Roman" w:hAnsi="Times New Roman"/>
          <w:sz w:val="24"/>
          <w:szCs w:val="24"/>
          <w:u w:val="single"/>
        </w:rPr>
        <w:t xml:space="preserve"> 2022</w:t>
      </w:r>
      <w:r w:rsidRPr="00842F09">
        <w:rPr>
          <w:rFonts w:ascii="Times New Roman" w:hAnsi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sz w:val="24"/>
          <w:szCs w:val="24"/>
        </w:rPr>
        <w:t>г.</w:t>
      </w:r>
    </w:p>
    <w:p w14:paraId="29622A9D" w14:textId="77777777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ЦЕНА ДОГОВОРА И ПОРЯДОК РАСЧЕТОВ.</w:t>
      </w:r>
    </w:p>
    <w:p w14:paraId="36097FBC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2.1 Техническое обслуживание по настоящему Договору осуществляется </w:t>
      </w:r>
      <w:proofErr w:type="gramStart"/>
      <w:r>
        <w:rPr>
          <w:rFonts w:ascii="Times New Roman" w:hAnsi="Times New Roman"/>
          <w:sz w:val="24"/>
          <w:szCs w:val="24"/>
        </w:rPr>
        <w:t>согласно локальной сметы</w:t>
      </w:r>
      <w:proofErr w:type="gramEnd"/>
      <w:r>
        <w:rPr>
          <w:rFonts w:ascii="Times New Roman" w:hAnsi="Times New Roman"/>
          <w:sz w:val="24"/>
          <w:szCs w:val="24"/>
        </w:rPr>
        <w:t xml:space="preserve"> (приложение №1) и перечня установленного оборудования (приложение №2).                                                                                                                                                                                  2.2 Сумма техобслуживания за один месяц, </w:t>
      </w:r>
      <w:proofErr w:type="gramStart"/>
      <w:r>
        <w:rPr>
          <w:rFonts w:ascii="Times New Roman" w:hAnsi="Times New Roman"/>
          <w:sz w:val="24"/>
          <w:szCs w:val="24"/>
        </w:rPr>
        <w:t>согласно протокола</w:t>
      </w:r>
      <w:proofErr w:type="gramEnd"/>
      <w:r>
        <w:rPr>
          <w:rFonts w:ascii="Times New Roman" w:hAnsi="Times New Roman"/>
          <w:sz w:val="24"/>
          <w:szCs w:val="24"/>
        </w:rPr>
        <w:t xml:space="preserve"> № _____ от _______ 2022г, составила ___________________________ </w:t>
      </w:r>
      <w:proofErr w:type="spellStart"/>
      <w:r>
        <w:rPr>
          <w:rFonts w:ascii="Times New Roman" w:hAnsi="Times New Roman"/>
          <w:sz w:val="24"/>
          <w:szCs w:val="24"/>
        </w:rPr>
        <w:t>сум</w:t>
      </w:r>
      <w:proofErr w:type="spellEnd"/>
      <w:r>
        <w:rPr>
          <w:rFonts w:ascii="Times New Roman" w:hAnsi="Times New Roman"/>
          <w:sz w:val="24"/>
          <w:szCs w:val="24"/>
        </w:rPr>
        <w:t xml:space="preserve"> с НДС 15 %.</w:t>
      </w:r>
    </w:p>
    <w:p w14:paraId="257619B4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2.3 Сумма техобслуживания за </w:t>
      </w:r>
      <w:proofErr w:type="gramStart"/>
      <w:r>
        <w:rPr>
          <w:rFonts w:ascii="Times New Roman" w:hAnsi="Times New Roman"/>
          <w:sz w:val="24"/>
          <w:szCs w:val="24"/>
        </w:rPr>
        <w:t>одиннадцать  месяцев</w:t>
      </w:r>
      <w:proofErr w:type="gramEnd"/>
      <w:r>
        <w:rPr>
          <w:rFonts w:ascii="Times New Roman" w:hAnsi="Times New Roman"/>
          <w:sz w:val="24"/>
          <w:szCs w:val="24"/>
        </w:rPr>
        <w:t xml:space="preserve"> 2022 года составила ____________________ </w:t>
      </w:r>
      <w:proofErr w:type="spellStart"/>
      <w:r>
        <w:rPr>
          <w:rFonts w:ascii="Times New Roman" w:hAnsi="Times New Roman"/>
          <w:sz w:val="24"/>
          <w:szCs w:val="24"/>
        </w:rPr>
        <w:t>сум</w:t>
      </w:r>
      <w:proofErr w:type="spellEnd"/>
      <w:r>
        <w:rPr>
          <w:rFonts w:ascii="Times New Roman" w:hAnsi="Times New Roman"/>
          <w:sz w:val="24"/>
          <w:szCs w:val="24"/>
        </w:rPr>
        <w:t xml:space="preserve"> с НДС</w:t>
      </w:r>
    </w:p>
    <w:p w14:paraId="3EC4D007" w14:textId="77777777" w:rsidR="00CC63DF" w:rsidRDefault="00CC63DF" w:rsidP="00CC63DF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2.4. Расчёты межу «Заказчиком» и «Исполнителем» по настоящему договору производятся в соответствии с Указом Президента Республики Узбекистан от 12.05.1995 г., с предоплатой в размере 15</w:t>
      </w:r>
      <w:proofErr w:type="gramStart"/>
      <w:r>
        <w:rPr>
          <w:rFonts w:ascii="Times New Roman" w:hAnsi="Times New Roman"/>
          <w:sz w:val="24"/>
          <w:szCs w:val="24"/>
        </w:rPr>
        <w:t>%  от</w:t>
      </w:r>
      <w:proofErr w:type="gramEnd"/>
      <w:r>
        <w:rPr>
          <w:rFonts w:ascii="Times New Roman" w:hAnsi="Times New Roman"/>
          <w:sz w:val="24"/>
          <w:szCs w:val="24"/>
        </w:rPr>
        <w:t xml:space="preserve"> месячной суммы договора до 10 числа отчётного месяца. Остаточная сумма за выполнение объёма работ перечисляется </w:t>
      </w:r>
      <w:proofErr w:type="gramStart"/>
      <w:r>
        <w:rPr>
          <w:rFonts w:ascii="Times New Roman" w:hAnsi="Times New Roman"/>
          <w:sz w:val="24"/>
          <w:szCs w:val="24"/>
        </w:rPr>
        <w:t>согласно акта</w:t>
      </w:r>
      <w:proofErr w:type="gramEnd"/>
      <w:r>
        <w:rPr>
          <w:rFonts w:ascii="Times New Roman" w:hAnsi="Times New Roman"/>
          <w:sz w:val="24"/>
          <w:szCs w:val="24"/>
        </w:rPr>
        <w:t xml:space="preserve"> выполненных работ за отчётный месяц не позднее 15 числа каждого месяца, следующего за отчётным. </w:t>
      </w:r>
    </w:p>
    <w:p w14:paraId="1F6D7AE1" w14:textId="77777777" w:rsidR="00CC63DF" w:rsidRDefault="00CC63DF" w:rsidP="00CC63DF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3.ПРИЁМ И СДАЧА ВЫПОЛНЕНЫХ РАБОТ.</w:t>
      </w:r>
    </w:p>
    <w:p w14:paraId="460FD784" w14:textId="77777777" w:rsidR="00CC63DF" w:rsidRDefault="00CC63DF" w:rsidP="00CC63DF">
      <w:pPr>
        <w:pStyle w:val="a5"/>
        <w:tabs>
          <w:tab w:val="left" w:pos="-42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3.1 «Исполнитель» устраняет текущие замечания, выданные «Заказчиком», проводит техническое обслуживание, регламентные работы и проверяет работу установок, демонстрирует их работоспособность «Заказчику», пожарной службе и службе охраны объекта, после чего заполняется «Журнал» регистрации работ по техническому обслуживанию и регламентным работам и заверяется подписями. </w:t>
      </w:r>
    </w:p>
    <w:p w14:paraId="68CBAB42" w14:textId="77777777" w:rsidR="00CC63DF" w:rsidRDefault="00CC63DF" w:rsidP="00CC63DF">
      <w:pPr>
        <w:pStyle w:val="a5"/>
        <w:tabs>
          <w:tab w:val="left" w:pos="-426"/>
        </w:tabs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3.2 «Заказчик» обязуется в течение трехдневного срока со дня получения Акта и прилагаемых к нему документов рассмотреть и направить «Исполнителю» подписанный Акт или мотивированный отказ о приемке работ.                                                                                                                                                                                                           3.3 В случае возникновения факта мотивированного отказа о приемке работ, сторонами составляется акт с перечнем необходимых доработок и сроков их устранения.</w:t>
      </w:r>
    </w:p>
    <w:p w14:paraId="6875E7AE" w14:textId="77777777" w:rsidR="00CC63DF" w:rsidRDefault="00CC63DF" w:rsidP="00CC63DF">
      <w:pPr>
        <w:pStyle w:val="a5"/>
        <w:tabs>
          <w:tab w:val="left" w:pos="-426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4.ОТВЕТСТВЕННОСТЬ СТОРОН.</w:t>
      </w:r>
    </w:p>
    <w:p w14:paraId="0E45DCD9" w14:textId="77777777" w:rsidR="00CC63DF" w:rsidRDefault="00CC63DF" w:rsidP="00CC63DF">
      <w:pPr>
        <w:pStyle w:val="a5"/>
        <w:tabs>
          <w:tab w:val="left" w:pos="-426"/>
        </w:tabs>
        <w:ind w:right="1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 «Исполнитель» обязуется обеспечить качество и своевременность оказываемых услуг.                                                                                                                                                                                             4.2 «Исполнитель» составляет график регламентных работ и ТО, согласовав с «Заказчиком».                                               </w:t>
      </w:r>
    </w:p>
    <w:p w14:paraId="2936341F" w14:textId="77777777" w:rsidR="00CC63DF" w:rsidRDefault="00CC63DF" w:rsidP="00CC63DF">
      <w:pPr>
        <w:pStyle w:val="a3"/>
        <w:tabs>
          <w:tab w:val="left" w:pos="-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4.3 «</w:t>
      </w:r>
      <w:r w:rsidRPr="002C7149">
        <w:rPr>
          <w:rFonts w:ascii="Times New Roman" w:hAnsi="Times New Roman"/>
          <w:sz w:val="24"/>
          <w:szCs w:val="24"/>
        </w:rPr>
        <w:t>Исполнитель» обязан соблюдать внутри объектовый режим, п</w:t>
      </w:r>
      <w:r>
        <w:rPr>
          <w:rFonts w:ascii="Times New Roman" w:hAnsi="Times New Roman"/>
          <w:sz w:val="24"/>
          <w:szCs w:val="24"/>
        </w:rPr>
        <w:t>равил ТБ и ПБ, осуществлять ежемесячный</w:t>
      </w:r>
      <w:r w:rsidRPr="002C7149">
        <w:rPr>
          <w:rFonts w:ascii="Times New Roman" w:hAnsi="Times New Roman"/>
          <w:sz w:val="24"/>
          <w:szCs w:val="24"/>
        </w:rPr>
        <w:t xml:space="preserve"> контроль за состоянием обслуживаемых систем и незамедлительно обеспечить прибытие своего персонала на объект «Заказчика» по вызову «Заказчика», оказывать услуги</w:t>
      </w:r>
      <w:r w:rsidRPr="002C7149">
        <w:rPr>
          <w:rFonts w:ascii="Times New Roman" w:hAnsi="Times New Roman"/>
          <w:sz w:val="24"/>
          <w:szCs w:val="24"/>
          <w:lang w:eastAsia="ru-RU"/>
        </w:rPr>
        <w:t xml:space="preserve"> своими инструментами и приспособлениями</w:t>
      </w:r>
      <w:r w:rsidRPr="002C7149">
        <w:rPr>
          <w:rFonts w:ascii="Times New Roman" w:hAnsi="Times New Roman"/>
          <w:sz w:val="24"/>
          <w:szCs w:val="24"/>
        </w:rPr>
        <w:t>.                                                                                                                                                                                        4.4 «Исполнитель» назначает ответственного представителя по объекту для решения технических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466F48">
        <w:rPr>
          <w:rFonts w:ascii="Times New Roman" w:hAnsi="Times New Roman"/>
          <w:sz w:val="24"/>
          <w:szCs w:val="24"/>
        </w:rPr>
        <w:t xml:space="preserve">организационных вопросов.                                                                                                                                                                                                           </w:t>
      </w:r>
      <w:r w:rsidRPr="00466F48">
        <w:rPr>
          <w:rFonts w:ascii="Times New Roman" w:hAnsi="Times New Roman"/>
          <w:sz w:val="24"/>
          <w:szCs w:val="24"/>
        </w:rPr>
        <w:lastRenderedPageBreak/>
        <w:t xml:space="preserve">4.5 «Исполнитель» несёт ответственность за соблюдения своим персоналом правил ТБ при выполнении работ на объекте «Заказчика» и за все случаи производственного травматизма, произошедшие за время оказания услуг.                                                                                                                                                                                                            4.6 «Исполнитель» вправе потребовать </w:t>
      </w:r>
      <w:proofErr w:type="gramStart"/>
      <w:r w:rsidRPr="00466F48">
        <w:rPr>
          <w:rFonts w:ascii="Times New Roman" w:hAnsi="Times New Roman"/>
          <w:sz w:val="24"/>
          <w:szCs w:val="24"/>
        </w:rPr>
        <w:t>от  «</w:t>
      </w:r>
      <w:proofErr w:type="gramEnd"/>
      <w:r w:rsidRPr="00466F48">
        <w:rPr>
          <w:rFonts w:ascii="Times New Roman" w:hAnsi="Times New Roman"/>
          <w:sz w:val="24"/>
          <w:szCs w:val="24"/>
        </w:rPr>
        <w:t xml:space="preserve">Заказчика»  обученного персонала  по </w:t>
      </w:r>
      <w:r w:rsidRPr="00466F48">
        <w:rPr>
          <w:rFonts w:ascii="Times New Roman" w:hAnsi="Times New Roman"/>
          <w:bCs/>
          <w:sz w:val="24"/>
          <w:szCs w:val="24"/>
        </w:rPr>
        <w:t>эксплуатации систем пожарная сигнализация и видеонаблюдение</w:t>
      </w:r>
      <w:r w:rsidRPr="00466F48"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                                                   4.7 «Заказчик» обеспечивает «Исполнителя» помещением для персонала и хранения </w:t>
      </w:r>
      <w:proofErr w:type="spellStart"/>
      <w:r w:rsidRPr="00466F48">
        <w:rPr>
          <w:rFonts w:ascii="Times New Roman" w:hAnsi="Times New Roman"/>
          <w:sz w:val="24"/>
          <w:szCs w:val="24"/>
        </w:rPr>
        <w:t>ЗиП</w:t>
      </w:r>
      <w:proofErr w:type="spellEnd"/>
      <w:r w:rsidRPr="00466F48">
        <w:rPr>
          <w:rFonts w:ascii="Times New Roman" w:hAnsi="Times New Roman"/>
          <w:sz w:val="24"/>
          <w:szCs w:val="24"/>
        </w:rPr>
        <w:t xml:space="preserve"> и необходимым материалом для выполнения работ по договору.                                                                                                                              4.8. В случае неисполнения или ненадлежащего исполнения договорных обязательств, виновная сторона несёт ответственность в порядке, предусмотренном действующим законодательством Республики Узбекистан.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466F48">
        <w:rPr>
          <w:rFonts w:ascii="Times New Roman" w:hAnsi="Times New Roman"/>
          <w:sz w:val="24"/>
          <w:szCs w:val="24"/>
        </w:rPr>
        <w:t>4.9. Если оказанные услуги не соответствуют стандартам по качеству, установленным законодательством или настоящим договором, по вине «Исполнителя», «Заказчик» вправе отказаться от оплаты услуг за тот период и в том объёме, которые определит комиссия со стороны «Заказчика» и  «</w:t>
      </w:r>
      <w:proofErr w:type="spellStart"/>
      <w:r w:rsidRPr="00466F48">
        <w:rPr>
          <w:rFonts w:ascii="Times New Roman" w:hAnsi="Times New Roman"/>
          <w:sz w:val="24"/>
          <w:szCs w:val="24"/>
        </w:rPr>
        <w:t>Исполнителя».«Заказчик</w:t>
      </w:r>
      <w:proofErr w:type="spellEnd"/>
      <w:r w:rsidRPr="00466F48">
        <w:rPr>
          <w:rFonts w:ascii="Times New Roman" w:hAnsi="Times New Roman"/>
          <w:sz w:val="24"/>
          <w:szCs w:val="24"/>
        </w:rPr>
        <w:t xml:space="preserve">» имеет право взыскать штраф в размере 20% стоимости работ ненадлежащего качества, а если работы уже оплачены, потребовать в установленном порядке возврата уплаченных сумм. Штраф за выполнение работы ненадлежащего качества взыскивается в </w:t>
      </w:r>
      <w:proofErr w:type="spellStart"/>
      <w:r w:rsidRPr="00466F48">
        <w:rPr>
          <w:rFonts w:ascii="Times New Roman" w:hAnsi="Times New Roman"/>
          <w:sz w:val="24"/>
          <w:szCs w:val="24"/>
        </w:rPr>
        <w:t>безакцептном</w:t>
      </w:r>
      <w:proofErr w:type="spellEnd"/>
      <w:r w:rsidRPr="00466F48">
        <w:rPr>
          <w:rFonts w:ascii="Times New Roman" w:hAnsi="Times New Roman"/>
          <w:sz w:val="24"/>
          <w:szCs w:val="24"/>
        </w:rPr>
        <w:t xml:space="preserve"> порядке </w:t>
      </w:r>
      <w:proofErr w:type="gramStart"/>
      <w:r w:rsidRPr="00466F48">
        <w:rPr>
          <w:rFonts w:ascii="Times New Roman" w:hAnsi="Times New Roman"/>
          <w:sz w:val="24"/>
          <w:szCs w:val="24"/>
        </w:rPr>
        <w:t>с  «</w:t>
      </w:r>
      <w:proofErr w:type="gramEnd"/>
      <w:r w:rsidRPr="00466F48">
        <w:rPr>
          <w:rFonts w:ascii="Times New Roman" w:hAnsi="Times New Roman"/>
          <w:sz w:val="24"/>
          <w:szCs w:val="24"/>
        </w:rPr>
        <w:t xml:space="preserve">Исполнителя».    </w:t>
      </w:r>
    </w:p>
    <w:p w14:paraId="1F7A4116" w14:textId="77777777" w:rsidR="00CC63DF" w:rsidRPr="00466F48" w:rsidRDefault="00CC63DF" w:rsidP="00CC63DF">
      <w:pPr>
        <w:pStyle w:val="a3"/>
        <w:tabs>
          <w:tab w:val="left" w:pos="-426"/>
        </w:tabs>
        <w:ind w:left="0"/>
        <w:rPr>
          <w:rFonts w:ascii="Times New Roman" w:hAnsi="Times New Roman"/>
          <w:sz w:val="24"/>
          <w:szCs w:val="24"/>
        </w:rPr>
      </w:pPr>
      <w:r w:rsidRPr="00466F48">
        <w:rPr>
          <w:rFonts w:ascii="Times New Roman" w:hAnsi="Times New Roman"/>
          <w:sz w:val="24"/>
          <w:szCs w:val="24"/>
        </w:rPr>
        <w:t xml:space="preserve">4.10.  В случае простоя оборудования по вине «Исполнителя», </w:t>
      </w:r>
      <w:proofErr w:type="gramStart"/>
      <w:r w:rsidRPr="00466F48">
        <w:rPr>
          <w:rFonts w:ascii="Times New Roman" w:hAnsi="Times New Roman"/>
          <w:sz w:val="24"/>
          <w:szCs w:val="24"/>
        </w:rPr>
        <w:t>последний  оплачивает</w:t>
      </w:r>
      <w:proofErr w:type="gramEnd"/>
      <w:r w:rsidRPr="00466F48">
        <w:rPr>
          <w:rFonts w:ascii="Times New Roman" w:hAnsi="Times New Roman"/>
          <w:sz w:val="24"/>
          <w:szCs w:val="24"/>
        </w:rPr>
        <w:t xml:space="preserve"> 0,5% месячной стоимости услуг за каждый день простоя, которую определяет комиссия в составе представителей сторон, но не более </w:t>
      </w:r>
      <w:r>
        <w:rPr>
          <w:rFonts w:ascii="Times New Roman" w:hAnsi="Times New Roman"/>
          <w:sz w:val="24"/>
          <w:szCs w:val="24"/>
        </w:rPr>
        <w:t>1</w:t>
      </w:r>
      <w:r w:rsidRPr="00466F48">
        <w:rPr>
          <w:rFonts w:ascii="Times New Roman" w:hAnsi="Times New Roman"/>
          <w:sz w:val="24"/>
          <w:szCs w:val="24"/>
        </w:rPr>
        <w:t xml:space="preserve">0% месячной стоимости услуг не работающего оборудования.                                                                                                                            </w:t>
      </w:r>
    </w:p>
    <w:p w14:paraId="301FA8D5" w14:textId="77777777" w:rsidR="00CC63DF" w:rsidRDefault="00CC63DF" w:rsidP="00CC63DF">
      <w:pPr>
        <w:pStyle w:val="a3"/>
        <w:tabs>
          <w:tab w:val="left" w:pos="-426"/>
        </w:tabs>
        <w:ind w:left="0"/>
        <w:rPr>
          <w:rFonts w:ascii="Times New Roman" w:hAnsi="Times New Roman"/>
          <w:sz w:val="24"/>
          <w:szCs w:val="24"/>
        </w:rPr>
      </w:pPr>
      <w:r w:rsidRPr="00466F48">
        <w:rPr>
          <w:rFonts w:ascii="Times New Roman" w:hAnsi="Times New Roman"/>
          <w:sz w:val="24"/>
          <w:szCs w:val="24"/>
        </w:rPr>
        <w:t>4.11.  В случае несвоевременной оплаты за оказанные услуги «Заказчик» уплачивает пеню в размере 0,4% от суммы просроченного платежа за кажд</w:t>
      </w:r>
      <w:r>
        <w:rPr>
          <w:rFonts w:ascii="Times New Roman" w:hAnsi="Times New Roman"/>
          <w:sz w:val="24"/>
          <w:szCs w:val="24"/>
        </w:rPr>
        <w:t>ый день просрочки, но не более 1</w:t>
      </w:r>
      <w:r w:rsidRPr="00466F48">
        <w:rPr>
          <w:rFonts w:ascii="Times New Roman" w:hAnsi="Times New Roman"/>
          <w:sz w:val="24"/>
          <w:szCs w:val="24"/>
        </w:rPr>
        <w:t xml:space="preserve">0% от суммы просроченного платежа. </w:t>
      </w:r>
    </w:p>
    <w:p w14:paraId="499CC3ED" w14:textId="77777777" w:rsidR="00CC63DF" w:rsidRDefault="00CC63DF" w:rsidP="00CC63DF">
      <w:pPr>
        <w:pStyle w:val="a3"/>
        <w:tabs>
          <w:tab w:val="left" w:pos="-426"/>
        </w:tabs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5.ПОРЯДОК РАСТОРЖЕНИЯ ДОГОВОРА.</w:t>
      </w:r>
    </w:p>
    <w:p w14:paraId="1E153F0E" w14:textId="77777777" w:rsidR="00CC63DF" w:rsidRDefault="00CC63DF" w:rsidP="00CC63DF">
      <w:pPr>
        <w:pStyle w:val="a3"/>
        <w:tabs>
          <w:tab w:val="left" w:pos="-426"/>
        </w:tabs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>5.1  Договор</w:t>
      </w:r>
      <w:proofErr w:type="gramEnd"/>
      <w:r>
        <w:rPr>
          <w:rFonts w:ascii="Times New Roman" w:hAnsi="Times New Roman"/>
          <w:sz w:val="24"/>
          <w:szCs w:val="24"/>
        </w:rPr>
        <w:t xml:space="preserve">  может быть расторгнут в одностороннем порядке по инициативе «Заказчика», когда при выполнении работ выявляются грубые нарушения «Исполнителем» норм и правил производства работ, обнаружения скрываемых дефектов, ставящих под угрозу дальнейшую эксплуатацию объекта.</w:t>
      </w:r>
    </w:p>
    <w:p w14:paraId="3020BB67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6.ПОРЯДОК РАССМОТРЕНИЯ ХОЗЯЙСТВЕННЫХ СПОРОВ. </w:t>
      </w:r>
    </w:p>
    <w:p w14:paraId="72C2248C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 Все споры, возникшие при выполнении настоящего Договора, по возможности разрешаются путем переговоров между Сторонами.                                                                                                                                                                                                  6.2 В случаях отсутствия обоюдного согласия и наличия противоречий по условиям выполнения Договора, споры рассматриваются в </w:t>
      </w: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экономическом суде г. Ташкента в соответствии с действующим законодательством </w:t>
      </w:r>
      <w:r>
        <w:rPr>
          <w:rFonts w:ascii="Times New Roman" w:hAnsi="Times New Roman"/>
          <w:sz w:val="24"/>
          <w:szCs w:val="24"/>
        </w:rPr>
        <w:t>процессуальным Кодексом Республики Узбекистан и Экономическом суде города Ташкента по заявлению заинтересованной стороны.</w:t>
      </w:r>
    </w:p>
    <w:p w14:paraId="1D010FAA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7.ПРОЧИЕ УСЛОВИЯ ДОГОВОРА.</w:t>
      </w:r>
    </w:p>
    <w:p w14:paraId="4CC2A986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 На любом этапе настоящего Договора Сторонами по обоюдному согласию могут быть внесены изменения и дополнения.                                                                                                                                                                                                              7.2 Все изменения и дополнения оформляются Дополнительным соглашением к Договору.                                                                         7.3 Настоящий договор составлен в двух экземплярах, имеющих одинаковую юридическую силу, по одному экземпляру для каждой из сторон.</w:t>
      </w:r>
    </w:p>
    <w:p w14:paraId="62EE5F6E" w14:textId="77777777" w:rsidR="00CC63DF" w:rsidRDefault="00CC63DF" w:rsidP="00CC63DF">
      <w:pPr>
        <w:pStyle w:val="a5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8.ФОРС-МАЖОР.                                                                                                                                                                     8.1 Стороны освобождаются от ответственности за частичное или полное невыполнение обязательств </w:t>
      </w:r>
      <w:proofErr w:type="gramStart"/>
      <w:r>
        <w:rPr>
          <w:rFonts w:ascii="Times New Roman" w:hAnsi="Times New Roman"/>
          <w:sz w:val="24"/>
          <w:szCs w:val="24"/>
        </w:rPr>
        <w:t>по  настоящему</w:t>
      </w:r>
      <w:proofErr w:type="gramEnd"/>
      <w:r>
        <w:rPr>
          <w:rFonts w:ascii="Times New Roman" w:hAnsi="Times New Roman"/>
          <w:sz w:val="24"/>
          <w:szCs w:val="24"/>
        </w:rPr>
        <w:t xml:space="preserve"> Договору, если это неисполнение явилось следствием обстоятельств неопределенной силы, возникших после заключения договора в результате событий чрезвычайного характера, которые стороны не могли предвидеть, не предотвратить разумными мерами. К таким относятся явления природы, принятые органом Государственной власти решения, повлекшего </w:t>
      </w:r>
      <w:proofErr w:type="gramStart"/>
      <w:r>
        <w:rPr>
          <w:rFonts w:ascii="Times New Roman" w:hAnsi="Times New Roman"/>
          <w:sz w:val="24"/>
          <w:szCs w:val="24"/>
        </w:rPr>
        <w:t>не возможность</w:t>
      </w:r>
      <w:proofErr w:type="gramEnd"/>
      <w:r>
        <w:rPr>
          <w:rFonts w:ascii="Times New Roman" w:hAnsi="Times New Roman"/>
          <w:sz w:val="24"/>
          <w:szCs w:val="24"/>
        </w:rPr>
        <w:t xml:space="preserve"> исполнения Договора.</w:t>
      </w:r>
    </w:p>
    <w:p w14:paraId="1B25AC14" w14:textId="77777777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C14DB73" w14:textId="77777777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30CF84B" w14:textId="77777777" w:rsidR="009B5545" w:rsidRDefault="009B5545" w:rsidP="009B5545">
      <w:pPr>
        <w:pStyle w:val="a5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 xml:space="preserve">Приложение №2 К договору №___ от "_______ 2022г </w:t>
      </w:r>
    </w:p>
    <w:p w14:paraId="439E0F64" w14:textId="77777777" w:rsidR="009B5545" w:rsidRDefault="009B5545" w:rsidP="009B5545">
      <w:pPr>
        <w:pStyle w:val="a5"/>
        <w:jc w:val="right"/>
        <w:rPr>
          <w:rFonts w:ascii="Times New Roman" w:hAnsi="Times New Roman"/>
          <w:b/>
        </w:rPr>
      </w:pPr>
    </w:p>
    <w:p w14:paraId="21C152DF" w14:textId="77777777" w:rsidR="009B5545" w:rsidRPr="00845723" w:rsidRDefault="009B5545" w:rsidP="009B5545">
      <w:pPr>
        <w:ind w:left="708" w:right="178" w:firstLine="708"/>
        <w:rPr>
          <w:b/>
        </w:rPr>
      </w:pPr>
      <w:r>
        <w:rPr>
          <w:b/>
        </w:rPr>
        <w:t xml:space="preserve">                  </w:t>
      </w:r>
      <w:r w:rsidRPr="00845723">
        <w:rPr>
          <w:b/>
        </w:rPr>
        <w:t>ПЕРЕЧЕНЬ УСТАНОВЛЕННОГО ОБОРУДОВАНИЯ</w:t>
      </w:r>
    </w:p>
    <w:tbl>
      <w:tblPr>
        <w:tblW w:w="10770" w:type="dxa"/>
        <w:jc w:val="center"/>
        <w:tblLayout w:type="fixed"/>
        <w:tblLook w:val="04A0" w:firstRow="1" w:lastRow="0" w:firstColumn="1" w:lastColumn="0" w:noHBand="0" w:noVBand="1"/>
      </w:tblPr>
      <w:tblGrid>
        <w:gridCol w:w="10770"/>
      </w:tblGrid>
      <w:tr w:rsidR="009B5545" w14:paraId="73AFCC7A" w14:textId="77777777" w:rsidTr="00C36477">
        <w:trPr>
          <w:trHeight w:val="20"/>
          <w:jc w:val="center"/>
        </w:trPr>
        <w:tc>
          <w:tcPr>
            <w:tcW w:w="10770" w:type="dxa"/>
            <w:vAlign w:val="center"/>
          </w:tcPr>
          <w:p w14:paraId="10950796" w14:textId="77777777" w:rsidR="009B5545" w:rsidRDefault="009B5545" w:rsidP="009B5545">
            <w:pPr>
              <w:rPr>
                <w:rFonts w:ascii="Trebuchet MS" w:hAnsi="Trebuchet MS"/>
                <w:sz w:val="21"/>
              </w:rPr>
            </w:pPr>
          </w:p>
          <w:p w14:paraId="4050BF69" w14:textId="77777777" w:rsidR="009B5545" w:rsidRDefault="009B5545" w:rsidP="009B5545">
            <w:pPr>
              <w:ind w:left="360"/>
              <w:rPr>
                <w:b/>
              </w:rPr>
            </w:pPr>
            <w:r>
              <w:rPr>
                <w:b/>
              </w:rPr>
              <w:t xml:space="preserve">1 </w:t>
            </w:r>
            <w:r w:rsidRPr="001D57A8">
              <w:rPr>
                <w:b/>
              </w:rPr>
              <w:t>Системы пожарной сигнализации (ПС)</w:t>
            </w:r>
          </w:p>
          <w:p w14:paraId="74CC08A4" w14:textId="77777777" w:rsidR="009B5545" w:rsidRDefault="009B5545" w:rsidP="009B5545">
            <w:pPr>
              <w:ind w:left="360"/>
              <w:rPr>
                <w:b/>
              </w:rPr>
            </w:pPr>
          </w:p>
          <w:p w14:paraId="52747230" w14:textId="77777777" w:rsidR="009B5545" w:rsidRPr="001D57A8" w:rsidRDefault="009B5545" w:rsidP="009B5545">
            <w:pPr>
              <w:ind w:left="360"/>
              <w:rPr>
                <w:b/>
              </w:rPr>
            </w:pPr>
          </w:p>
          <w:p w14:paraId="584D89F5" w14:textId="77777777" w:rsidR="009B5545" w:rsidRPr="00845723" w:rsidRDefault="009B5545" w:rsidP="009B5545">
            <w:pPr>
              <w:pStyle w:val="a3"/>
              <w:spacing w:after="0" w:line="240" w:lineRule="auto"/>
              <w:ind w:left="269"/>
              <w:rPr>
                <w:rFonts w:ascii="Times New Roman" w:hAnsi="Times New Roman"/>
                <w:b/>
                <w:sz w:val="24"/>
                <w:szCs w:val="24"/>
              </w:rPr>
            </w:pPr>
          </w:p>
          <w:tbl>
            <w:tblPr>
              <w:tblW w:w="9210" w:type="dxa"/>
              <w:tblInd w:w="676" w:type="dxa"/>
              <w:tblLayout w:type="fixed"/>
              <w:tblLook w:val="04A0" w:firstRow="1" w:lastRow="0" w:firstColumn="1" w:lastColumn="0" w:noHBand="0" w:noVBand="1"/>
            </w:tblPr>
            <w:tblGrid>
              <w:gridCol w:w="595"/>
              <w:gridCol w:w="7339"/>
              <w:gridCol w:w="1276"/>
            </w:tblGrid>
            <w:tr w:rsidR="009B5545" w:rsidRPr="00845723" w14:paraId="7B88D081" w14:textId="77777777" w:rsidTr="00C36477">
              <w:trPr>
                <w:trHeight w:val="190"/>
              </w:trPr>
              <w:tc>
                <w:tcPr>
                  <w:tcW w:w="5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31B252C6" w14:textId="77777777" w:rsidR="009B5545" w:rsidRPr="00845723" w:rsidRDefault="009B5545" w:rsidP="009B5545">
                  <w:pPr>
                    <w:jc w:val="center"/>
                    <w:rPr>
                      <w:b/>
                      <w:bCs/>
                    </w:rPr>
                  </w:pPr>
                  <w:r w:rsidRPr="00845723">
                    <w:rPr>
                      <w:b/>
                      <w:bCs/>
                    </w:rPr>
                    <w:t>№</w:t>
                  </w:r>
                </w:p>
              </w:tc>
              <w:tc>
                <w:tcPr>
                  <w:tcW w:w="733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11E3672" w14:textId="77777777" w:rsidR="009B5545" w:rsidRPr="00845723" w:rsidRDefault="009B5545" w:rsidP="009B5545">
                  <w:pPr>
                    <w:jc w:val="center"/>
                    <w:rPr>
                      <w:b/>
                      <w:bCs/>
                    </w:rPr>
                  </w:pPr>
                  <w:r w:rsidRPr="00845723">
                    <w:rPr>
                      <w:b/>
                      <w:bCs/>
                    </w:rPr>
                    <w:t xml:space="preserve">ОПИСАНИЕ 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F1B75F4" w14:textId="77777777" w:rsidR="009B5545" w:rsidRPr="00845723" w:rsidRDefault="009B5545" w:rsidP="009B5545">
                  <w:pPr>
                    <w:jc w:val="center"/>
                    <w:rPr>
                      <w:b/>
                      <w:bCs/>
                    </w:rPr>
                  </w:pPr>
                  <w:r w:rsidRPr="00845723">
                    <w:rPr>
                      <w:b/>
                      <w:bCs/>
                    </w:rPr>
                    <w:t xml:space="preserve">кол-во  </w:t>
                  </w:r>
                  <w:r w:rsidRPr="00845723">
                    <w:rPr>
                      <w:b/>
                      <w:bCs/>
                    </w:rPr>
                    <w:br/>
                    <w:t xml:space="preserve">  шт. </w:t>
                  </w:r>
                </w:p>
              </w:tc>
            </w:tr>
            <w:tr w:rsidR="009B5545" w:rsidRPr="00845723" w14:paraId="51190235" w14:textId="77777777" w:rsidTr="00C36477">
              <w:trPr>
                <w:trHeight w:val="285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AB3CDEA" w14:textId="77777777" w:rsidR="009B5545" w:rsidRPr="00845723" w:rsidRDefault="009B5545" w:rsidP="009B5545">
                  <w:pPr>
                    <w:jc w:val="center"/>
                  </w:pPr>
                  <w:r w:rsidRPr="00845723">
                    <w:t>1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F56F5" w14:textId="77777777" w:rsidR="009B5545" w:rsidRPr="00845723" w:rsidRDefault="009B5545" w:rsidP="009B5545">
                  <w:r>
                    <w:t>Прибор за первый шлейф Пульт ПС Гамма-20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EE7E3BF" w14:textId="77777777" w:rsidR="009B5545" w:rsidRPr="00845723" w:rsidRDefault="009B5545" w:rsidP="009B5545">
                  <w:pPr>
                    <w:jc w:val="center"/>
                  </w:pPr>
                  <w:r>
                    <w:t>3</w:t>
                  </w:r>
                </w:p>
              </w:tc>
            </w:tr>
            <w:tr w:rsidR="009B5545" w:rsidRPr="00845723" w14:paraId="2CADFCD0" w14:textId="77777777" w:rsidTr="00C36477">
              <w:trPr>
                <w:trHeight w:val="285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77693C7" w14:textId="77777777" w:rsidR="009B5545" w:rsidRPr="00845723" w:rsidRDefault="009B5545" w:rsidP="009B5545">
                  <w:pPr>
                    <w:jc w:val="center"/>
                  </w:pPr>
                  <w:r>
                    <w:t>2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0220B" w14:textId="77777777" w:rsidR="009B5545" w:rsidRPr="00845723" w:rsidRDefault="009B5545" w:rsidP="009B5545">
                  <w:r>
                    <w:t xml:space="preserve">За каждый последующий шлейф 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4F6D74A" w14:textId="77777777" w:rsidR="009B5545" w:rsidRDefault="009B5545" w:rsidP="009B5545">
                  <w:pPr>
                    <w:jc w:val="center"/>
                  </w:pPr>
                  <w:r>
                    <w:t>57</w:t>
                  </w:r>
                </w:p>
              </w:tc>
            </w:tr>
            <w:tr w:rsidR="009B5545" w:rsidRPr="00845723" w14:paraId="25BBE54E" w14:textId="77777777" w:rsidTr="00C36477">
              <w:trPr>
                <w:trHeight w:val="285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9C8839E" w14:textId="77777777" w:rsidR="009B5545" w:rsidRPr="00845723" w:rsidRDefault="009B5545" w:rsidP="009B5545">
                  <w:pPr>
                    <w:jc w:val="center"/>
                  </w:pPr>
                  <w:r>
                    <w:t>3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6E05E4" w14:textId="77777777" w:rsidR="009B5545" w:rsidRPr="00845723" w:rsidRDefault="009B5545" w:rsidP="009B5545">
                  <w:r>
                    <w:t>Устройство сигнальное звуковое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3E4A5DC" w14:textId="77777777" w:rsidR="009B5545" w:rsidRPr="00845723" w:rsidRDefault="009B5545" w:rsidP="009B5545">
                  <w:pPr>
                    <w:jc w:val="center"/>
                  </w:pPr>
                  <w:r>
                    <w:t>5</w:t>
                  </w:r>
                </w:p>
              </w:tc>
            </w:tr>
            <w:tr w:rsidR="009B5545" w:rsidRPr="00845723" w14:paraId="6B7E9A00" w14:textId="77777777" w:rsidTr="00C36477">
              <w:trPr>
                <w:trHeight w:val="285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3458A8E5" w14:textId="77777777" w:rsidR="009B5545" w:rsidRPr="00845723" w:rsidRDefault="009B5545" w:rsidP="009B5545">
                  <w:pPr>
                    <w:jc w:val="center"/>
                  </w:pPr>
                  <w:r>
                    <w:t>4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541E93" w14:textId="77777777" w:rsidR="009B5545" w:rsidRPr="00845723" w:rsidRDefault="009B5545" w:rsidP="009B5545">
                  <w:r>
                    <w:t>Устройство сигнальное световое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E25CEE2" w14:textId="77777777" w:rsidR="009B5545" w:rsidRPr="00845723" w:rsidRDefault="009B5545" w:rsidP="009B5545">
                  <w:pPr>
                    <w:jc w:val="center"/>
                  </w:pPr>
                  <w:r>
                    <w:t>5</w:t>
                  </w:r>
                </w:p>
              </w:tc>
            </w:tr>
            <w:tr w:rsidR="009B5545" w:rsidRPr="00845723" w14:paraId="35D2E39F" w14:textId="77777777" w:rsidTr="00C36477">
              <w:trPr>
                <w:trHeight w:val="216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2E6F366" w14:textId="77777777" w:rsidR="009B5545" w:rsidRPr="00845723" w:rsidRDefault="009B5545" w:rsidP="009B5545">
                  <w:pPr>
                    <w:jc w:val="center"/>
                  </w:pPr>
                  <w:r>
                    <w:t>5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48492" w14:textId="77777777" w:rsidR="009B5545" w:rsidRPr="00845723" w:rsidRDefault="009B5545" w:rsidP="009B554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Извещатели типа ИПР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2B2E99E6" w14:textId="77777777" w:rsidR="009B5545" w:rsidRPr="00845723" w:rsidRDefault="009B5545" w:rsidP="009B554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</w:t>
                  </w:r>
                </w:p>
              </w:tc>
            </w:tr>
            <w:tr w:rsidR="009B5545" w:rsidRPr="00845723" w14:paraId="6E15E980" w14:textId="77777777" w:rsidTr="00C36477">
              <w:trPr>
                <w:trHeight w:val="285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76732725" w14:textId="77777777" w:rsidR="009B5545" w:rsidRPr="00845723" w:rsidRDefault="009B5545" w:rsidP="009B5545">
                  <w:pPr>
                    <w:jc w:val="center"/>
                  </w:pPr>
                  <w:r>
                    <w:t>6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B1B539" w14:textId="77777777" w:rsidR="009B5545" w:rsidRPr="00845723" w:rsidRDefault="009B5545" w:rsidP="009B554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Дымовые извещатели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4E820C12" w14:textId="77777777" w:rsidR="009B5545" w:rsidRPr="00845723" w:rsidRDefault="009B5545" w:rsidP="009B554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515</w:t>
                  </w:r>
                </w:p>
              </w:tc>
            </w:tr>
            <w:tr w:rsidR="009B5545" w:rsidRPr="00845723" w14:paraId="77091550" w14:textId="77777777" w:rsidTr="00C36477">
              <w:trPr>
                <w:trHeight w:val="285"/>
              </w:trPr>
              <w:tc>
                <w:tcPr>
                  <w:tcW w:w="5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9ABC0F8" w14:textId="77777777" w:rsidR="009B5545" w:rsidRPr="00845723" w:rsidRDefault="009B5545" w:rsidP="009B5545">
                  <w:pPr>
                    <w:jc w:val="center"/>
                  </w:pPr>
                  <w:r>
                    <w:t>7</w:t>
                  </w:r>
                </w:p>
              </w:tc>
              <w:tc>
                <w:tcPr>
                  <w:tcW w:w="733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16D278" w14:textId="77777777" w:rsidR="009B5545" w:rsidRPr="00845723" w:rsidRDefault="009B5545" w:rsidP="009B5545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Провод однопарный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5F952068" w14:textId="77777777" w:rsidR="009B5545" w:rsidRPr="00845723" w:rsidRDefault="009B5545" w:rsidP="009B5545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3000м</w:t>
                  </w:r>
                </w:p>
              </w:tc>
            </w:tr>
          </w:tbl>
          <w:p w14:paraId="32838E9B" w14:textId="77777777" w:rsidR="009B5545" w:rsidRDefault="009B5545" w:rsidP="009B5545">
            <w:pPr>
              <w:rPr>
                <w:rFonts w:ascii="Trebuchet MS" w:hAnsi="Trebuchet MS"/>
                <w:color w:val="2F2A2B"/>
                <w:sz w:val="21"/>
                <w:szCs w:val="21"/>
              </w:rPr>
            </w:pPr>
          </w:p>
          <w:p w14:paraId="7C02A38D" w14:textId="77777777" w:rsidR="009B5545" w:rsidRPr="00845723" w:rsidRDefault="009B5545" w:rsidP="009B5545">
            <w:pPr>
              <w:pStyle w:val="a3"/>
              <w:spacing w:after="0" w:line="240" w:lineRule="auto"/>
              <w:ind w:left="269"/>
              <w:rPr>
                <w:rFonts w:ascii="Times New Roman" w:hAnsi="Times New Roman"/>
                <w:sz w:val="24"/>
                <w:szCs w:val="24"/>
              </w:rPr>
            </w:pPr>
          </w:p>
          <w:p w14:paraId="0C4950DC" w14:textId="77777777" w:rsidR="009B5545" w:rsidRDefault="009B5545" w:rsidP="009B5545">
            <w:pPr>
              <w:pStyle w:val="a3"/>
              <w:spacing w:after="240"/>
              <w:ind w:left="-15" w:firstLine="735"/>
              <w:rPr>
                <w:rFonts w:ascii="Trebuchet MS" w:hAnsi="Trebuchet MS"/>
                <w:color w:val="2F2A2B"/>
                <w:sz w:val="21"/>
                <w:szCs w:val="21"/>
              </w:rPr>
            </w:pPr>
          </w:p>
        </w:tc>
      </w:tr>
    </w:tbl>
    <w:p w14:paraId="028A685F" w14:textId="77777777" w:rsidR="009B5545" w:rsidRDefault="009B5545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3B619A22" w14:textId="77777777" w:rsidR="009B5545" w:rsidRDefault="009B5545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2E96E073" w14:textId="77777777" w:rsidR="009B5545" w:rsidRDefault="009B5545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00E9C3E6" w14:textId="77777777" w:rsidR="009B5545" w:rsidRDefault="009B5545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6DCFF26C" w14:textId="3A446C3E" w:rsidR="00CC63DF" w:rsidRDefault="00CC63DF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ЮРИДИЧЕСКИЕ АДРЕСА, РЕКВИЗИТЫ И ПОДПИСИ СТОРОН.</w:t>
      </w:r>
    </w:p>
    <w:p w14:paraId="6DF94D2E" w14:textId="77777777" w:rsidR="009B5545" w:rsidRDefault="009B5545" w:rsidP="00CC63DF">
      <w:pPr>
        <w:pStyle w:val="a5"/>
        <w:jc w:val="center"/>
        <w:rPr>
          <w:rFonts w:ascii="Times New Roman" w:hAnsi="Times New Roman"/>
          <w:sz w:val="24"/>
          <w:szCs w:val="24"/>
        </w:rPr>
      </w:pPr>
    </w:p>
    <w:p w14:paraId="5D9415EA" w14:textId="77777777" w:rsidR="00CC63DF" w:rsidRPr="007878BE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 w:rsidRPr="007878BE">
        <w:rPr>
          <w:rFonts w:ascii="Times New Roman" w:hAnsi="Times New Roman"/>
          <w:b/>
          <w:sz w:val="24"/>
          <w:szCs w:val="24"/>
        </w:rPr>
        <w:t xml:space="preserve">                  </w:t>
      </w:r>
      <w:proofErr w:type="gramStart"/>
      <w:r w:rsidRPr="007878BE">
        <w:rPr>
          <w:rFonts w:ascii="Times New Roman" w:hAnsi="Times New Roman"/>
          <w:b/>
          <w:sz w:val="24"/>
          <w:szCs w:val="24"/>
        </w:rPr>
        <w:t>« ЗАКАЗЧИК</w:t>
      </w:r>
      <w:proofErr w:type="gramEnd"/>
      <w:r w:rsidRPr="007878BE">
        <w:rPr>
          <w:rFonts w:ascii="Times New Roman" w:hAnsi="Times New Roman"/>
          <w:b/>
          <w:sz w:val="24"/>
          <w:szCs w:val="24"/>
        </w:rPr>
        <w:t>»                                                               « ИСПОЛНИТЕЛЬ «</w:t>
      </w:r>
    </w:p>
    <w:tbl>
      <w:tblPr>
        <w:tblW w:w="11223" w:type="dxa"/>
        <w:tblLook w:val="04A0" w:firstRow="1" w:lastRow="0" w:firstColumn="1" w:lastColumn="0" w:noHBand="0" w:noVBand="1"/>
      </w:tblPr>
      <w:tblGrid>
        <w:gridCol w:w="5729"/>
        <w:gridCol w:w="5494"/>
      </w:tblGrid>
      <w:tr w:rsidR="00CC63DF" w:rsidRPr="003F5BCC" w14:paraId="317F7917" w14:textId="77777777" w:rsidTr="00C36477">
        <w:tc>
          <w:tcPr>
            <w:tcW w:w="5729" w:type="dxa"/>
            <w:hideMark/>
          </w:tcPr>
          <w:p w14:paraId="15199571" w14:textId="77777777" w:rsidR="00CC63DF" w:rsidRPr="00466F48" w:rsidRDefault="00CC63DF" w:rsidP="00C36477">
            <w:pPr>
              <w:pStyle w:val="a5"/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</w:pPr>
            <w:r w:rsidRPr="00466F48"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  <w:t>ООО “</w:t>
            </w:r>
            <w:r w:rsidRPr="00466F4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>Iste’molda bo’lgan transport vositalari</w:t>
            </w:r>
          </w:p>
          <w:p w14:paraId="1186C4F4" w14:textId="77777777" w:rsidR="00CC63DF" w:rsidRPr="00466F48" w:rsidRDefault="00CC63DF" w:rsidP="00C36477">
            <w:pPr>
              <w:pStyle w:val="a5"/>
              <w:rPr>
                <w:rFonts w:ascii="Times New Roman" w:hAnsi="Times New Roman"/>
                <w:b/>
                <w:bCs/>
                <w:noProof/>
                <w:sz w:val="24"/>
                <w:szCs w:val="24"/>
                <w:lang w:val="uz-Cyrl-UZ"/>
              </w:rPr>
            </w:pPr>
            <w:r w:rsidRPr="00466F48">
              <w:rPr>
                <w:rFonts w:ascii="Times New Roman" w:hAnsi="Times New Roman"/>
                <w:b/>
                <w:bCs/>
                <w:sz w:val="24"/>
                <w:szCs w:val="24"/>
                <w:lang w:val="uz-Cyrl-UZ"/>
              </w:rPr>
              <w:t xml:space="preserve">va ehtiyot qismlari </w:t>
            </w:r>
            <w:r w:rsidRPr="00466F48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Sergeli bozori»</w:t>
            </w:r>
          </w:p>
          <w:p w14:paraId="7A3E8141" w14:textId="77777777" w:rsidR="00CC63DF" w:rsidRPr="00141FFE" w:rsidRDefault="00CC63DF" w:rsidP="00C36477">
            <w:pPr>
              <w:rPr>
                <w:b/>
                <w:lang w:val="en-US"/>
              </w:rPr>
            </w:pPr>
          </w:p>
        </w:tc>
        <w:tc>
          <w:tcPr>
            <w:tcW w:w="5494" w:type="dxa"/>
          </w:tcPr>
          <w:p w14:paraId="4AF198CB" w14:textId="77777777" w:rsidR="00CC63DF" w:rsidRPr="00141FFE" w:rsidRDefault="00CC63DF" w:rsidP="00C36477">
            <w:pPr>
              <w:pStyle w:val="a5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14:paraId="02553CED" w14:textId="77777777" w:rsidR="00CC63DF" w:rsidRPr="00141FFE" w:rsidRDefault="00CC63DF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1B0F1436" w14:textId="1012C291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3ABEFB09" w14:textId="4BB15140" w:rsidR="009B5545" w:rsidRDefault="009B5545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6C86DAF1" w14:textId="0C8A2F76" w:rsidR="009B5545" w:rsidRDefault="009B5545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2C4B8887" w14:textId="68C16188" w:rsidR="009B5545" w:rsidRDefault="009B5545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5DC78AFA" w14:textId="4B2B7A3A" w:rsidR="009B5545" w:rsidRDefault="009B5545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</w:p>
    <w:p w14:paraId="5DFCE201" w14:textId="77777777" w:rsidR="009B5545" w:rsidRPr="00141FFE" w:rsidRDefault="009B5545" w:rsidP="00CC63DF">
      <w:pPr>
        <w:pStyle w:val="a5"/>
        <w:rPr>
          <w:rFonts w:ascii="Times New Roman" w:hAnsi="Times New Roman"/>
          <w:b/>
          <w:sz w:val="24"/>
          <w:szCs w:val="24"/>
          <w:lang w:val="en-US"/>
        </w:rPr>
      </w:pPr>
      <w:bookmarkStart w:id="0" w:name="_GoBack"/>
      <w:bookmarkEnd w:id="0"/>
    </w:p>
    <w:p w14:paraId="2C87135E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Н.Н.Эгамбердиев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Директор:</w:t>
      </w:r>
    </w:p>
    <w:p w14:paraId="54FECD05" w14:textId="77777777" w:rsidR="00CC63DF" w:rsidRDefault="00CC63DF" w:rsidP="00CC63DF">
      <w:pPr>
        <w:pStyle w:val="a5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sectPr w:rsidR="00CC63DF" w:rsidSect="00C36AE9">
      <w:pgSz w:w="11906" w:h="16838"/>
      <w:pgMar w:top="567" w:right="850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2DF"/>
    <w:rsid w:val="000231B1"/>
    <w:rsid w:val="002D6DE5"/>
    <w:rsid w:val="00496CA5"/>
    <w:rsid w:val="00624067"/>
    <w:rsid w:val="009B5545"/>
    <w:rsid w:val="00AB4B99"/>
    <w:rsid w:val="00C36AE9"/>
    <w:rsid w:val="00C452DF"/>
    <w:rsid w:val="00CC36C3"/>
    <w:rsid w:val="00CC6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54C38"/>
  <w15:chartTrackingRefBased/>
  <w15:docId w15:val="{C7A15D5E-F721-41EC-AAA1-616664158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_Paragraph,Multilevel para_II,List Paragraph (numbered (a)),Numbered list"/>
    <w:basedOn w:val="a"/>
    <w:link w:val="a4"/>
    <w:uiPriority w:val="34"/>
    <w:qFormat/>
    <w:rsid w:val="00CC36C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List_Paragraph Знак,Multilevel para_II Знак,List Paragraph (numbered (a)) Знак,Numbered list Знак"/>
    <w:link w:val="a3"/>
    <w:uiPriority w:val="34"/>
    <w:locked/>
    <w:rsid w:val="00CC36C3"/>
    <w:rPr>
      <w:rFonts w:ascii="Calibri" w:eastAsia="Times New Roman" w:hAnsi="Calibri" w:cs="Times New Roman"/>
    </w:rPr>
  </w:style>
  <w:style w:type="paragraph" w:styleId="a5">
    <w:name w:val="No Spacing"/>
    <w:link w:val="a6"/>
    <w:qFormat/>
    <w:rsid w:val="00CC36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CC36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1601</Words>
  <Characters>9130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Boss Boss</cp:lastModifiedBy>
  <cp:revision>6</cp:revision>
  <dcterms:created xsi:type="dcterms:W3CDTF">2021-03-18T05:48:00Z</dcterms:created>
  <dcterms:modified xsi:type="dcterms:W3CDTF">2022-02-04T04:54:00Z</dcterms:modified>
</cp:coreProperties>
</file>