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135"/>
        <w:gridCol w:w="387"/>
        <w:gridCol w:w="135"/>
        <w:gridCol w:w="249"/>
        <w:gridCol w:w="529"/>
        <w:gridCol w:w="222"/>
        <w:gridCol w:w="992"/>
        <w:gridCol w:w="91"/>
        <w:gridCol w:w="2746"/>
        <w:gridCol w:w="178"/>
        <w:gridCol w:w="815"/>
        <w:gridCol w:w="135"/>
        <w:gridCol w:w="291"/>
        <w:gridCol w:w="147"/>
        <w:gridCol w:w="340"/>
        <w:gridCol w:w="1214"/>
        <w:gridCol w:w="91"/>
        <w:gridCol w:w="3739"/>
      </w:tblGrid>
      <w:tr w:rsidR="00A84834" w:rsidRPr="000678C3" w14:paraId="7E428DDE" w14:textId="77777777" w:rsidTr="00083619">
        <w:trPr>
          <w:gridAfter w:val="8"/>
          <w:wAfter w:w="6772" w:type="dxa"/>
          <w:trHeight w:val="330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A4E9AA" w14:textId="53AA4759" w:rsidR="00A84834" w:rsidRPr="000678C3" w:rsidRDefault="00A84834" w:rsidP="00A8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r w:rsidR="0015238D"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12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</w:t>
            </w:r>
          </w:p>
          <w:p w14:paraId="74A52327" w14:textId="1388189A" w:rsidR="00A84834" w:rsidRPr="000678C3" w:rsidRDefault="00577F09" w:rsidP="00542B7B">
            <w:pPr>
              <w:pStyle w:val="1"/>
              <w:shd w:val="clear" w:color="auto" w:fill="auto"/>
              <w:spacing w:after="0" w:line="257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F09">
              <w:rPr>
                <w:color w:val="000000"/>
                <w:lang w:eastAsia="ru-RU" w:bidi="ru-RU"/>
              </w:rPr>
              <w:t>ренген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апаратларини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ва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генераторни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ишга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тушуриш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электр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жихозларини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синовдан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утказиш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чодир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ёгочларини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ёнгинга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карши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ишлов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бериш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ёгоч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кунгизларига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карши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ишлов</w:t>
            </w:r>
            <w:proofErr w:type="spellEnd"/>
            <w:r w:rsidRPr="00577F09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577F09">
              <w:rPr>
                <w:color w:val="000000"/>
                <w:lang w:eastAsia="ru-RU" w:bidi="ru-RU"/>
              </w:rPr>
              <w:t>бериш</w:t>
            </w:r>
            <w:proofErr w:type="spellEnd"/>
          </w:p>
        </w:tc>
      </w:tr>
      <w:tr w:rsidR="00A84834" w:rsidRPr="000678C3" w14:paraId="36C89071" w14:textId="77777777" w:rsidTr="00083619">
        <w:trPr>
          <w:gridAfter w:val="7"/>
          <w:wAfter w:w="5957" w:type="dxa"/>
          <w:trHeight w:val="33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53DB98" w14:textId="5E1467C1" w:rsidR="00A84834" w:rsidRPr="000678C3" w:rsidRDefault="00F018BD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Гулистон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шаҳри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1C462A" w14:textId="77777777"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BC7AF8" w14:textId="77777777"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C66166" w14:textId="77777777"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934FB5" w14:textId="77777777"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65C1CD" w14:textId="382F6902" w:rsidR="00A84834" w:rsidRPr="000678C3" w:rsidRDefault="00A84834" w:rsidP="00E44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</w:tc>
      </w:tr>
      <w:tr w:rsidR="00A84834" w:rsidRPr="000678C3" w14:paraId="212E14A0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631D7BB" w14:textId="711C8314" w:rsidR="00A84834" w:rsidRPr="000678C3" w:rsidRDefault="00332EC3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«БАЖАРУВЧИ»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номланади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низом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ишлайдиган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унинг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номидан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бошка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томондан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31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«БУЮРТМАЧИ»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юритилади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низом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ишлайдиган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3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31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шарномани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туздилар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834" w:rsidRPr="000678C3" w14:paraId="5307E792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B1549D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</w:p>
        </w:tc>
      </w:tr>
      <w:tr w:rsidR="00A84834" w:rsidRPr="000678C3" w14:paraId="000784D1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BB263" w14:textId="301DA83D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«БУЮРТМАЧИ»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курсатма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беради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«БАЖАРУВЧИ»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шартнома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9CB">
              <w:rPr>
                <w:rFonts w:ascii="Times New Roman" w:hAnsi="Times New Roman" w:cs="Times New Roman"/>
                <w:sz w:val="24"/>
                <w:szCs w:val="24"/>
              </w:rPr>
              <w:t>яъни</w:t>
            </w:r>
            <w:proofErr w:type="spellEnd"/>
            <w:r w:rsidR="00494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ювиш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хамда</w:t>
            </w:r>
            <w:proofErr w:type="spellEnd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ускуналарга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техник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хизмат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курсатиш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таъмирлашни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амалга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ошириш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мажбуриятини</w:t>
            </w:r>
            <w:proofErr w:type="spellEnd"/>
            <w:r w:rsidR="004949CB">
              <w:rPr>
                <w:rFonts w:ascii="Times New Roman" w:hAnsi="Times New Roman" w:cs="Times New Roman"/>
                <w:sz w:val="24"/>
                <w:szCs w:val="24"/>
              </w:rPr>
              <w:t xml:space="preserve"> уз </w:t>
            </w:r>
            <w:proofErr w:type="spellStart"/>
            <w:r w:rsidR="004949CB">
              <w:rPr>
                <w:rFonts w:ascii="Times New Roman" w:hAnsi="Times New Roman" w:cs="Times New Roman"/>
                <w:sz w:val="24"/>
                <w:szCs w:val="24"/>
              </w:rPr>
              <w:t>зиммасига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олади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834" w:rsidRPr="000678C3" w14:paraId="0EB64DE9" w14:textId="77777777" w:rsidTr="00083619">
        <w:trPr>
          <w:gridAfter w:val="7"/>
          <w:wAfter w:w="5957" w:type="dxa"/>
          <w:trHeight w:val="330"/>
        </w:trPr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7EFB5A" w14:textId="572EF369" w:rsidR="00A84834" w:rsidRPr="000678C3" w:rsidRDefault="00617AC8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7D72BB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A7388B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30E058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1B847B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34" w:rsidRPr="000678C3" w14:paraId="7F4962CE" w14:textId="77777777" w:rsidTr="00083619">
        <w:trPr>
          <w:gridAfter w:val="7"/>
          <w:wAfter w:w="5957" w:type="dxa"/>
          <w:trHeight w:val="330"/>
        </w:trPr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D7945A" w14:textId="65EE4D47" w:rsidR="00A84834" w:rsidRPr="000678C3" w:rsidRDefault="00F12FCD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62F6B8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9FC943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F8E6B4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B77FA7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A8F19A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34" w:rsidRPr="000678C3" w14:paraId="4A8FA550" w14:textId="77777777" w:rsidTr="00083619">
        <w:trPr>
          <w:gridAfter w:val="7"/>
          <w:wAfter w:w="5957" w:type="dxa"/>
          <w:trHeight w:val="330"/>
        </w:trPr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606C13" w14:textId="5A93667C" w:rsidR="00A84834" w:rsidRPr="000678C3" w:rsidRDefault="00F12FCD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2EBD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гача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1EFCD4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D62862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D80980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F13B6F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81D32F" w14:textId="77777777"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19" w:rsidRPr="000678C3" w14:paraId="0ED23AB7" w14:textId="77777777" w:rsidTr="00083619">
        <w:trPr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3C5D5FE" w14:textId="503634FE" w:rsidR="00083619" w:rsidRPr="00A84834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«БУЮРТМАЧИ»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шартнома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БАЖАРУВЧИ»га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аванс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туловини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далолатномасини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этганидан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тулайди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7AF2247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4C2CFB0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0A6813B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EB89CA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B5ECC58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19" w:rsidRPr="000678C3" w14:paraId="0DEC76E6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2343CA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«БУЮРТМАЧИ» 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ҳисоб-рақамига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маблағлари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12D1E48B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C62DA6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ҳуқуқ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</w:p>
        </w:tc>
      </w:tr>
      <w:tr w:rsidR="00083619" w:rsidRPr="000678C3" w14:paraId="476D9DEF" w14:textId="77777777" w:rsidTr="00083619">
        <w:trPr>
          <w:gridAfter w:val="12"/>
          <w:wAfter w:w="10779" w:type="dxa"/>
          <w:trHeight w:val="330"/>
        </w:trPr>
        <w:tc>
          <w:tcPr>
            <w:tcW w:w="5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39548E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14:paraId="57DE8B63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350A534" w14:textId="672493A6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13B316CA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F964A75" w14:textId="014140FE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7576B071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87E0445" w14:textId="3F670326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0F2F0232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55BD609" w14:textId="6DF0AF75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104BD6EF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973F35C" w14:textId="4587FAF6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21693AB1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8813F61" w14:textId="0CB39918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7D567731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CFD5298" w14:textId="6104EC82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7F78B0EF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9279B2B" w14:textId="14F21950" w:rsidR="009A2171" w:rsidRPr="000678C3" w:rsidRDefault="009A2171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3C1FE8AB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428CBD1" w14:textId="26C1BCA0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07BEFFD4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F2DB67F" w14:textId="716E0031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6EC04661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5692BC0" w14:textId="240A4F3D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2B3F3136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158EB13" w14:textId="3A8E9F51" w:rsidR="00083619" w:rsidRPr="000678C3" w:rsidRDefault="00083619" w:rsidP="0008361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38BA7B22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4FC161" w14:textId="02B80CC4" w:rsidR="00083619" w:rsidRPr="000678C3" w:rsidRDefault="00083619" w:rsidP="00F4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Махфийлик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қатъий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159693CC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129979" w14:textId="2EB283CF" w:rsidR="00083619" w:rsidRPr="000678C3" w:rsidRDefault="00083619" w:rsidP="00F4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4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312764AC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B0AE9C" w14:textId="023B9CBB" w:rsidR="00083619" w:rsidRPr="000678C3" w:rsidRDefault="00083619" w:rsidP="00F4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4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1.1.-бандида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ҳажмда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7D244000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DF7B2" w14:textId="086FAB45" w:rsidR="00083619" w:rsidRPr="000678C3" w:rsidRDefault="00083619" w:rsidP="00F4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4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қилмасдан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ёмонлашувига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бепул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2266F27F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2B8461E" w14:textId="0EA0E7AE" w:rsidR="00083619" w:rsidRPr="000678C3" w:rsidRDefault="00083619" w:rsidP="00577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41E79049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271C6E1" w14:textId="4DE4C0BF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208A39B2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B972598" w14:textId="5BC3449D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75439DCF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1D436B4" w14:textId="6D2C2415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2213DFF6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E0A094F" w14:textId="51712CCB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288617B7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F83A60C" w14:textId="7DD048A0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6BBADFF6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B489CF9" w14:textId="3A7F1D02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4BEC4684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B2EC298" w14:textId="3988AB5F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14EBA71C" w14:textId="77777777" w:rsidTr="00577F0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25A1530" w14:textId="4B23269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740DB129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769A6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14:paraId="12127948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5272FF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)ни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09622A6A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C36E0F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назорат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62E3EC65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01ECBE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1B3A1BB1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F0C172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379C5E63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4510A5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14:paraId="4BB3C4C7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DDCAA5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32EAAA6A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90DFE8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14:paraId="443D3BA8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9863E5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30C6B4FF" w14:textId="77777777" w:rsidTr="00083619">
        <w:trPr>
          <w:gridAfter w:val="4"/>
          <w:wAfter w:w="5384" w:type="dxa"/>
          <w:trHeight w:val="330"/>
        </w:trPr>
        <w:tc>
          <w:tcPr>
            <w:tcW w:w="10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26726C" w14:textId="77777777"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0083A1" w14:textId="77777777"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ўзаро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ҳисоб-китоблар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  <w:proofErr w:type="spellEnd"/>
          </w:p>
        </w:tc>
      </w:tr>
      <w:tr w:rsidR="00083619" w:rsidRPr="000678C3" w14:paraId="50C9C927" w14:textId="77777777" w:rsidTr="00083619">
        <w:trPr>
          <w:gridAfter w:val="5"/>
          <w:wAfter w:w="5531" w:type="dxa"/>
          <w:trHeight w:val="33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1A57A1" w14:textId="2939DFDD"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1A21">
              <w:rPr>
                <w:rFonts w:ascii="Times New Roman" w:hAnsi="Times New Roman" w:cs="Times New Roman"/>
              </w:rPr>
              <w:t>______________________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ККС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9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сўмни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7A08FC8" w14:textId="77777777"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B8D2C2" w14:textId="77777777"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7A33EB" w14:textId="77777777"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26973D" w14:textId="77777777"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4C2F9" w14:textId="77777777" w:rsidR="00083619" w:rsidRPr="000678C3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785"/>
              <w:gridCol w:w="1389"/>
              <w:gridCol w:w="1443"/>
              <w:gridCol w:w="1421"/>
              <w:gridCol w:w="684"/>
              <w:gridCol w:w="1500"/>
              <w:gridCol w:w="109"/>
              <w:gridCol w:w="1937"/>
              <w:gridCol w:w="12"/>
            </w:tblGrid>
            <w:tr w:rsidR="00083619" w:rsidRPr="000678C3" w14:paraId="5EFF54DC" w14:textId="77777777" w:rsidTr="004A7D1F">
              <w:trPr>
                <w:gridAfter w:val="1"/>
                <w:wAfter w:w="12" w:type="dxa"/>
                <w:trHeight w:val="345"/>
              </w:trPr>
              <w:tc>
                <w:tcPr>
                  <w:tcW w:w="1593" w:type="dxa"/>
                  <w:vMerge w:val="restart"/>
                  <w:shd w:val="clear" w:color="000000" w:fill="FFFFFF"/>
                  <w:vAlign w:val="center"/>
                  <w:hideMark/>
                </w:tcPr>
                <w:p w14:paraId="50388CB1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Хизмат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курсатиш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номлари</w:t>
                  </w:r>
                  <w:proofErr w:type="spellEnd"/>
                </w:p>
              </w:tc>
              <w:tc>
                <w:tcPr>
                  <w:tcW w:w="785" w:type="dxa"/>
                  <w:vMerge w:val="restart"/>
                  <w:shd w:val="clear" w:color="000000" w:fill="FFFFFF"/>
                  <w:vAlign w:val="center"/>
                  <w:hideMark/>
                </w:tcPr>
                <w:p w14:paraId="247A5205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Ул.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бирлиги</w:t>
                  </w:r>
                  <w:proofErr w:type="spellEnd"/>
                </w:p>
              </w:tc>
              <w:tc>
                <w:tcPr>
                  <w:tcW w:w="1389" w:type="dxa"/>
                  <w:vMerge w:val="restart"/>
                  <w:shd w:val="clear" w:color="000000" w:fill="FFFFFF"/>
                  <w:vAlign w:val="center"/>
                  <w:hideMark/>
                </w:tcPr>
                <w:p w14:paraId="03A95CFE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Микдори</w:t>
                  </w:r>
                  <w:proofErr w:type="spellEnd"/>
                </w:p>
              </w:tc>
              <w:tc>
                <w:tcPr>
                  <w:tcW w:w="1443" w:type="dxa"/>
                  <w:vMerge w:val="restart"/>
                  <w:shd w:val="clear" w:color="000000" w:fill="FFFFFF"/>
                  <w:vAlign w:val="center"/>
                  <w:hideMark/>
                </w:tcPr>
                <w:p w14:paraId="13612137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Нархи</w:t>
                  </w:r>
                  <w:proofErr w:type="spellEnd"/>
                </w:p>
              </w:tc>
              <w:tc>
                <w:tcPr>
                  <w:tcW w:w="1421" w:type="dxa"/>
                  <w:vMerge w:val="restart"/>
                  <w:shd w:val="clear" w:color="000000" w:fill="FFFFFF"/>
                  <w:vAlign w:val="center"/>
                  <w:hideMark/>
                </w:tcPr>
                <w:p w14:paraId="10440384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Бажарувчининг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нархи</w:t>
                  </w:r>
                  <w:proofErr w:type="spellEnd"/>
                </w:p>
              </w:tc>
              <w:tc>
                <w:tcPr>
                  <w:tcW w:w="2184" w:type="dxa"/>
                  <w:gridSpan w:val="2"/>
                  <w:shd w:val="clear" w:color="000000" w:fill="FFFFFF"/>
                  <w:noWrap/>
                  <w:hideMark/>
                </w:tcPr>
                <w:p w14:paraId="1C478BD6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ККС</w:t>
                  </w:r>
                </w:p>
              </w:tc>
              <w:tc>
                <w:tcPr>
                  <w:tcW w:w="2046" w:type="dxa"/>
                  <w:gridSpan w:val="2"/>
                  <w:shd w:val="clear" w:color="000000" w:fill="FFFFFF"/>
                  <w:vAlign w:val="center"/>
                  <w:hideMark/>
                </w:tcPr>
                <w:p w14:paraId="7FCC6303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Жами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ККС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билан</w:t>
                  </w:r>
                  <w:proofErr w:type="spellEnd"/>
                </w:p>
              </w:tc>
            </w:tr>
            <w:tr w:rsidR="00083619" w:rsidRPr="000678C3" w14:paraId="3D393921" w14:textId="77777777" w:rsidTr="004A7D1F">
              <w:trPr>
                <w:gridAfter w:val="1"/>
                <w:wAfter w:w="12" w:type="dxa"/>
                <w:trHeight w:val="570"/>
              </w:trPr>
              <w:tc>
                <w:tcPr>
                  <w:tcW w:w="1593" w:type="dxa"/>
                  <w:vMerge/>
                  <w:vAlign w:val="center"/>
                  <w:hideMark/>
                </w:tcPr>
                <w:p w14:paraId="046775FC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85" w:type="dxa"/>
                  <w:vMerge/>
                  <w:vAlign w:val="center"/>
                  <w:hideMark/>
                </w:tcPr>
                <w:p w14:paraId="1025F3E8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89" w:type="dxa"/>
                  <w:vMerge/>
                  <w:vAlign w:val="center"/>
                  <w:hideMark/>
                </w:tcPr>
                <w:p w14:paraId="1B0AB6F8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3" w:type="dxa"/>
                  <w:vMerge/>
                  <w:vAlign w:val="center"/>
                  <w:hideMark/>
                </w:tcPr>
                <w:p w14:paraId="0519F79A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21" w:type="dxa"/>
                  <w:vMerge/>
                  <w:vAlign w:val="center"/>
                  <w:hideMark/>
                </w:tcPr>
                <w:p w14:paraId="503C8891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84" w:type="dxa"/>
                  <w:vMerge w:val="restart"/>
                  <w:shd w:val="clear" w:color="000000" w:fill="FFFFFF"/>
                  <w:noWrap/>
                  <w:textDirection w:val="tbRl"/>
                  <w:vAlign w:val="center"/>
                  <w:hideMark/>
                </w:tcPr>
                <w:p w14:paraId="3D4FF04D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1500" w:type="dxa"/>
                  <w:vMerge w:val="restart"/>
                  <w:shd w:val="clear" w:color="000000" w:fill="FFFFFF"/>
                  <w:noWrap/>
                  <w:textDirection w:val="tbRl"/>
                  <w:vAlign w:val="center"/>
                  <w:hideMark/>
                </w:tcPr>
                <w:p w14:paraId="3EC29AB5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Жами</w:t>
                  </w:r>
                  <w:proofErr w:type="spellEnd"/>
                </w:p>
              </w:tc>
              <w:tc>
                <w:tcPr>
                  <w:tcW w:w="2046" w:type="dxa"/>
                  <w:gridSpan w:val="2"/>
                  <w:vMerge w:val="restart"/>
                  <w:vAlign w:val="center"/>
                  <w:hideMark/>
                </w:tcPr>
                <w:p w14:paraId="4AB5D856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83619" w:rsidRPr="000678C3" w14:paraId="5F95D99A" w14:textId="77777777" w:rsidTr="004A7D1F">
              <w:trPr>
                <w:gridAfter w:val="1"/>
                <w:wAfter w:w="12" w:type="dxa"/>
                <w:trHeight w:val="450"/>
              </w:trPr>
              <w:tc>
                <w:tcPr>
                  <w:tcW w:w="1593" w:type="dxa"/>
                  <w:vMerge/>
                  <w:vAlign w:val="center"/>
                  <w:hideMark/>
                </w:tcPr>
                <w:p w14:paraId="57517151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85" w:type="dxa"/>
                  <w:vMerge/>
                  <w:vAlign w:val="center"/>
                  <w:hideMark/>
                </w:tcPr>
                <w:p w14:paraId="6A751175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89" w:type="dxa"/>
                  <w:vMerge/>
                  <w:vAlign w:val="center"/>
                  <w:hideMark/>
                </w:tcPr>
                <w:p w14:paraId="282B97F6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3" w:type="dxa"/>
                  <w:vMerge/>
                  <w:vAlign w:val="center"/>
                  <w:hideMark/>
                </w:tcPr>
                <w:p w14:paraId="2B7185C5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21" w:type="dxa"/>
                  <w:vMerge/>
                  <w:vAlign w:val="center"/>
                  <w:hideMark/>
                </w:tcPr>
                <w:p w14:paraId="3D25A265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84" w:type="dxa"/>
                  <w:vMerge/>
                  <w:vAlign w:val="center"/>
                  <w:hideMark/>
                </w:tcPr>
                <w:p w14:paraId="67D3CFA3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vMerge/>
                  <w:vAlign w:val="center"/>
                  <w:hideMark/>
                </w:tcPr>
                <w:p w14:paraId="43D17CFA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046" w:type="dxa"/>
                  <w:gridSpan w:val="2"/>
                  <w:vMerge/>
                  <w:vAlign w:val="center"/>
                  <w:hideMark/>
                </w:tcPr>
                <w:p w14:paraId="56B457B7" w14:textId="77777777"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83619" w:rsidRPr="000678C3" w14:paraId="58ACC4BF" w14:textId="77777777" w:rsidTr="00F018BD">
              <w:trPr>
                <w:gridAfter w:val="1"/>
                <w:wAfter w:w="12" w:type="dxa"/>
                <w:trHeight w:val="300"/>
              </w:trPr>
              <w:tc>
                <w:tcPr>
                  <w:tcW w:w="1593" w:type="dxa"/>
                  <w:shd w:val="clear" w:color="000000" w:fill="FFFFFF"/>
                  <w:noWrap/>
                  <w:vAlign w:val="bottom"/>
                </w:tcPr>
                <w:p w14:paraId="12C9C5C9" w14:textId="45C71D33" w:rsidR="00083619" w:rsidRPr="000678C3" w:rsidRDefault="00F47D92" w:rsidP="00F018BD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ренген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апаратларини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ва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генераторни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ишга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тушуриш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электр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жихозларини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синовдан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утказиш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чодир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ёгочларини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ёнгинга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карши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lastRenderedPageBreak/>
                    <w:t>ишлов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бериш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ёгоч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кунгизларига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карши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ишлов</w:t>
                  </w:r>
                  <w:proofErr w:type="spellEnd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 xml:space="preserve"> </w:t>
                  </w:r>
                  <w:proofErr w:type="spellStart"/>
                  <w:r w:rsidRPr="00F47D92">
                    <w:rPr>
                      <w:rFonts w:ascii="Cambria" w:eastAsia="Cambria" w:hAnsi="Cambria" w:cs="Cambria"/>
                      <w:color w:val="000000"/>
                      <w:lang w:eastAsia="ru-RU" w:bidi="ru-RU"/>
                    </w:rPr>
                    <w:t>бериш</w:t>
                  </w:r>
                  <w:proofErr w:type="spellEnd"/>
                </w:p>
              </w:tc>
              <w:tc>
                <w:tcPr>
                  <w:tcW w:w="785" w:type="dxa"/>
                  <w:shd w:val="clear" w:color="000000" w:fill="FFFFFF"/>
                  <w:noWrap/>
                  <w:vAlign w:val="bottom"/>
                </w:tcPr>
                <w:p w14:paraId="61B56584" w14:textId="639833D6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shd w:val="clear" w:color="000000" w:fill="FFFFFF"/>
                  <w:noWrap/>
                  <w:vAlign w:val="bottom"/>
                </w:tcPr>
                <w:p w14:paraId="07046D52" w14:textId="7FCFD7D6" w:rsidR="00083619" w:rsidRPr="000678C3" w:rsidRDefault="00083619" w:rsidP="00CA1222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3" w:type="dxa"/>
                  <w:shd w:val="clear" w:color="000000" w:fill="FFFFFF"/>
                  <w:noWrap/>
                  <w:vAlign w:val="bottom"/>
                </w:tcPr>
                <w:p w14:paraId="4FE299A3" w14:textId="2138A604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1" w:type="dxa"/>
                  <w:shd w:val="clear" w:color="000000" w:fill="FFFFFF"/>
                  <w:noWrap/>
                  <w:vAlign w:val="bottom"/>
                </w:tcPr>
                <w:p w14:paraId="432CDA8E" w14:textId="4DEEE637" w:rsidR="00083619" w:rsidRPr="000678C3" w:rsidRDefault="00083619" w:rsidP="00F12FCD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shd w:val="clear" w:color="000000" w:fill="FFFFFF"/>
                  <w:noWrap/>
                  <w:vAlign w:val="bottom"/>
                  <w:hideMark/>
                </w:tcPr>
                <w:p w14:paraId="2AC95959" w14:textId="141569F7" w:rsidR="00083619" w:rsidRPr="000678C3" w:rsidRDefault="00083619" w:rsidP="00270491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0" w:type="dxa"/>
                  <w:shd w:val="clear" w:color="000000" w:fill="FFFFFF"/>
                  <w:noWrap/>
                  <w:vAlign w:val="bottom"/>
                </w:tcPr>
                <w:p w14:paraId="0975640E" w14:textId="5D4258F1" w:rsidR="00083619" w:rsidRPr="000678C3" w:rsidRDefault="00083619" w:rsidP="00F12FCD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6" w:type="dxa"/>
                  <w:gridSpan w:val="2"/>
                  <w:shd w:val="clear" w:color="000000" w:fill="FFFFFF"/>
                  <w:noWrap/>
                  <w:vAlign w:val="bottom"/>
                </w:tcPr>
                <w:p w14:paraId="778C33D1" w14:textId="44BE8D5F" w:rsidR="00083619" w:rsidRPr="000678C3" w:rsidRDefault="00083619" w:rsidP="00E445B3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3619" w:rsidRPr="000678C3" w14:paraId="0A937423" w14:textId="77777777" w:rsidTr="00F12FCD">
              <w:trPr>
                <w:trHeight w:val="585"/>
              </w:trPr>
              <w:tc>
                <w:tcPr>
                  <w:tcW w:w="8924" w:type="dxa"/>
                  <w:gridSpan w:val="8"/>
                  <w:shd w:val="clear" w:color="000000" w:fill="FFFFFF"/>
                  <w:vAlign w:val="center"/>
                </w:tcPr>
                <w:p w14:paraId="7704BBE9" w14:textId="77777777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0678C3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949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14:paraId="0BA9C266" w14:textId="555AF0D0"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5DB1537" w14:textId="77777777" w:rsidR="00083619" w:rsidRPr="000678C3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14:paraId="184DDFED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36C5C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ҳисоб-китоблар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16981696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9433E7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биргаликда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лозим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2279364C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A7411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10 банк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6243309F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24CFC3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ташаббуси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47937F05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AD3A3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9F7D36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</w:p>
        </w:tc>
      </w:tr>
      <w:tr w:rsidR="00083619" w:rsidRPr="000678C3" w14:paraId="4ED6AE40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7CCD25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тўлайди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</w:p>
        </w:tc>
      </w:tr>
      <w:tr w:rsidR="00083619" w:rsidRPr="000678C3" w14:paraId="000D22F5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7B4BB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Пеня (жарима)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бузилишларни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этмайди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6D88C539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02CD40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даражада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Фуқаролик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F47D92">
              <w:fldChar w:fldCharType="begin"/>
            </w:r>
            <w:r w:rsidR="00F47D92">
              <w:instrText xml:space="preserve"> HYPERLINK "https://lex.uz/docs/111189" </w:instrText>
            </w:r>
            <w:r w:rsidR="00F47D92">
              <w:fldChar w:fldCharType="separate"/>
            </w:r>
            <w:r w:rsidRPr="000678C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t>кодекси</w:t>
            </w:r>
            <w:proofErr w:type="spellEnd"/>
            <w:r w:rsidR="00F47D92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fldChar w:fldCharType="end"/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Хўжалик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юритувчи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шартномавий-ҳуқуқий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тўғрисида»ги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F47D92">
              <w:fldChar w:fldCharType="begin"/>
            </w:r>
            <w:r w:rsidR="00F47D92">
              <w:instrText xml:space="preserve"> HYPERLINK "https://lex.uz/docs/18942" </w:instrText>
            </w:r>
            <w:r w:rsidR="00F47D92">
              <w:fldChar w:fldCharType="separate"/>
            </w:r>
            <w:r w:rsidRPr="000678C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t>Қонуни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="00F47D92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fldChar w:fldCharType="end"/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норматив-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1808B237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031350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чоракда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маротаба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кўрсатилаётган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шароитлар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2855AB4E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A9ACC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ҳудудида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фуқаролик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қўлланилади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249AA288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99897A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23C0BBA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Мунозарали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вазиятларни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  <w:proofErr w:type="spellEnd"/>
          </w:p>
        </w:tc>
      </w:tr>
      <w:tr w:rsidR="00083619" w:rsidRPr="000678C3" w14:paraId="287B143E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5A0B9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4D0173AC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C46272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бўлмайдиган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тартиб-таомили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туманлараро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иктисодий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0BA62D67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BF7988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VI. Форс-мажор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ҳолатлар</w:t>
            </w:r>
            <w:proofErr w:type="spellEnd"/>
          </w:p>
        </w:tc>
      </w:tr>
      <w:tr w:rsidR="00083619" w:rsidRPr="000678C3" w14:paraId="087C397F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28777A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куч,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фавқулодда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алоҳида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оқибати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тасдиқланса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мутаносиб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ҳодисалар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рўй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3E023108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B67D21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3EB1E9D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Якунловчи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қоидалар</w:t>
            </w:r>
            <w:proofErr w:type="spellEnd"/>
          </w:p>
        </w:tc>
      </w:tr>
      <w:tr w:rsidR="00083619" w:rsidRPr="000678C3" w14:paraId="63E3FFA8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1FE6BE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қўшимчалар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фақат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вакиллари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ҳақиқий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ажралмас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21B80433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D3BAF4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ҳеч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розилигисиз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49CA3330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85DF09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Иккала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29D9F264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1A86E3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B59320" w14:textId="77777777"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</w:p>
        </w:tc>
      </w:tr>
      <w:tr w:rsidR="00083619" w:rsidRPr="000678C3" w14:paraId="654D3F5B" w14:textId="77777777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34AFE9" w14:textId="77777777" w:rsidR="00083619" w:rsidRPr="000678C3" w:rsidRDefault="00083619" w:rsidP="00C4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пайтдан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4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декабрьгача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14:paraId="023FEFBC" w14:textId="77777777" w:rsidTr="00083619">
        <w:trPr>
          <w:gridAfter w:val="8"/>
          <w:wAfter w:w="6772" w:type="dxa"/>
          <w:trHeight w:val="330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846B5C" w14:textId="77777777"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6179870" w14:textId="77777777"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IX.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реквизитлари</w:t>
            </w:r>
            <w:proofErr w:type="spellEnd"/>
          </w:p>
        </w:tc>
      </w:tr>
      <w:tr w:rsidR="00083619" w:rsidRPr="000678C3" w14:paraId="371F7F90" w14:textId="77777777" w:rsidTr="00083619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9"/>
          <w:wAfter w:w="6950" w:type="dxa"/>
          <w:trHeight w:val="889"/>
        </w:trPr>
        <w:tc>
          <w:tcPr>
            <w:tcW w:w="4775" w:type="dxa"/>
            <w:gridSpan w:val="5"/>
          </w:tcPr>
          <w:p w14:paraId="69DCBA43" w14:textId="77777777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29AAC" w14:textId="77777777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b/>
                <w:sz w:val="24"/>
                <w:szCs w:val="24"/>
              </w:rPr>
              <w:t>БАЖАРУВЧИ</w:t>
            </w:r>
            <w:r w:rsidRPr="0006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37548C68" w14:textId="77777777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622A375" w14:textId="63CF9683" w:rsidR="00083619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DCE0CE9" w14:textId="54D22102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C4925D1" w14:textId="3D3C7F78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4F2EF71" w14:textId="06D89B85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ED2EC26" w14:textId="3CBA3570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EA0D60A" w14:textId="0B401AFF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558688D" w14:textId="1BAFC0BE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081F27E" w14:textId="5440B1D3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0F2D4A0" w14:textId="0ED3EA53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2D130B7" w14:textId="5E46D005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DA72D40" w14:textId="717FDD7E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1612488" w14:textId="16C355B1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EBB2A6F" w14:textId="4D57DAEF"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E76F145" w14:textId="77777777" w:rsidR="00332EC3" w:rsidRPr="000678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E5875C" w14:textId="0C8B1049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Директор _________________</w:t>
            </w:r>
          </w:p>
        </w:tc>
        <w:tc>
          <w:tcPr>
            <w:tcW w:w="4580" w:type="dxa"/>
            <w:gridSpan w:val="5"/>
          </w:tcPr>
          <w:p w14:paraId="2586B5AE" w14:textId="77777777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4A536" w14:textId="77777777"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b/>
                <w:sz w:val="24"/>
                <w:szCs w:val="24"/>
              </w:rPr>
              <w:t>БУЮРТМАЧИ</w:t>
            </w:r>
          </w:p>
          <w:p w14:paraId="3372C9A8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EFEFB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D1EE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5CC4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5CC14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3054A" w14:textId="77777777" w:rsidR="00083619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EC28C" w14:textId="77777777" w:rsidR="005F623F" w:rsidRDefault="005F623F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A4674" w14:textId="77777777" w:rsidR="005F623F" w:rsidRPr="000678C3" w:rsidRDefault="005F623F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DC8ED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1FE72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26CA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8517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D769C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FB71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DD70" w14:textId="77777777"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0528" w14:textId="77777777" w:rsidR="00083619" w:rsidRPr="000678C3" w:rsidRDefault="00083619" w:rsidP="00C45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Рахбар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</w:tc>
      </w:tr>
    </w:tbl>
    <w:p w14:paraId="4E6D7B59" w14:textId="77777777" w:rsidR="0053707A" w:rsidRDefault="0053707A">
      <w:pPr>
        <w:rPr>
          <w:sz w:val="24"/>
          <w:szCs w:val="24"/>
        </w:rPr>
      </w:pPr>
    </w:p>
    <w:p w14:paraId="5921DC79" w14:textId="77777777" w:rsidR="00C52EBD" w:rsidRPr="00A84834" w:rsidRDefault="00C52EBD">
      <w:pPr>
        <w:rPr>
          <w:sz w:val="24"/>
          <w:szCs w:val="24"/>
        </w:rPr>
      </w:pPr>
    </w:p>
    <w:sectPr w:rsidR="00C52EBD" w:rsidRPr="00A84834" w:rsidSect="00B7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521B4"/>
    <w:multiLevelType w:val="multilevel"/>
    <w:tmpl w:val="AC0CC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34"/>
    <w:rsid w:val="000678C3"/>
    <w:rsid w:val="00083619"/>
    <w:rsid w:val="000F2949"/>
    <w:rsid w:val="001053A1"/>
    <w:rsid w:val="0015238D"/>
    <w:rsid w:val="001F0D32"/>
    <w:rsid w:val="0023338B"/>
    <w:rsid w:val="002450B0"/>
    <w:rsid w:val="00270491"/>
    <w:rsid w:val="0032100F"/>
    <w:rsid w:val="00332EC3"/>
    <w:rsid w:val="003378E0"/>
    <w:rsid w:val="00347319"/>
    <w:rsid w:val="00354683"/>
    <w:rsid w:val="0046636A"/>
    <w:rsid w:val="004949CB"/>
    <w:rsid w:val="004A7D1F"/>
    <w:rsid w:val="004D3164"/>
    <w:rsid w:val="0050550E"/>
    <w:rsid w:val="0053707A"/>
    <w:rsid w:val="00542B7B"/>
    <w:rsid w:val="00545EDF"/>
    <w:rsid w:val="00577F09"/>
    <w:rsid w:val="005F134B"/>
    <w:rsid w:val="005F1C17"/>
    <w:rsid w:val="005F623F"/>
    <w:rsid w:val="00607314"/>
    <w:rsid w:val="00617AC8"/>
    <w:rsid w:val="00753FDD"/>
    <w:rsid w:val="00780F13"/>
    <w:rsid w:val="007C5932"/>
    <w:rsid w:val="00812A4F"/>
    <w:rsid w:val="008468D4"/>
    <w:rsid w:val="00865F9C"/>
    <w:rsid w:val="009A2171"/>
    <w:rsid w:val="009B6925"/>
    <w:rsid w:val="009C081B"/>
    <w:rsid w:val="009E1BAB"/>
    <w:rsid w:val="00A03E7E"/>
    <w:rsid w:val="00A84834"/>
    <w:rsid w:val="00AF2876"/>
    <w:rsid w:val="00B0003B"/>
    <w:rsid w:val="00B25A8C"/>
    <w:rsid w:val="00B744E5"/>
    <w:rsid w:val="00B91A21"/>
    <w:rsid w:val="00BA01C8"/>
    <w:rsid w:val="00C3178F"/>
    <w:rsid w:val="00C45DAC"/>
    <w:rsid w:val="00C52EBD"/>
    <w:rsid w:val="00CA1222"/>
    <w:rsid w:val="00CC3149"/>
    <w:rsid w:val="00DA6456"/>
    <w:rsid w:val="00DC56E2"/>
    <w:rsid w:val="00DD626A"/>
    <w:rsid w:val="00E445B3"/>
    <w:rsid w:val="00E950E8"/>
    <w:rsid w:val="00F018BD"/>
    <w:rsid w:val="00F12FCD"/>
    <w:rsid w:val="00F47D92"/>
    <w:rsid w:val="00F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5E5C"/>
  <w15:chartTrackingRefBased/>
  <w15:docId w15:val="{8707C539-FF9C-492B-8D1D-3772D72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834"/>
    <w:rPr>
      <w:b/>
      <w:bCs/>
    </w:rPr>
  </w:style>
  <w:style w:type="character" w:styleId="a5">
    <w:name w:val="Hyperlink"/>
    <w:basedOn w:val="a0"/>
    <w:uiPriority w:val="99"/>
    <w:semiHidden/>
    <w:unhideWhenUsed/>
    <w:rsid w:val="00A84834"/>
    <w:rPr>
      <w:color w:val="0000FF"/>
      <w:u w:val="single"/>
    </w:rPr>
  </w:style>
  <w:style w:type="paragraph" w:styleId="a6">
    <w:name w:val="No Spacing"/>
    <w:uiPriority w:val="1"/>
    <w:qFormat/>
    <w:rsid w:val="00B0003B"/>
    <w:pPr>
      <w:spacing w:after="0" w:line="240" w:lineRule="auto"/>
    </w:pPr>
  </w:style>
  <w:style w:type="character" w:customStyle="1" w:styleId="a7">
    <w:name w:val="Основной текст_"/>
    <w:basedOn w:val="a0"/>
    <w:link w:val="1"/>
    <w:rsid w:val="00F018BD"/>
    <w:rPr>
      <w:rFonts w:ascii="Cambria" w:eastAsia="Cambria" w:hAnsi="Cambria" w:cs="Cambria"/>
      <w:shd w:val="clear" w:color="auto" w:fill="FFFFFF"/>
    </w:rPr>
  </w:style>
  <w:style w:type="paragraph" w:customStyle="1" w:styleId="1">
    <w:name w:val="Основной текст1"/>
    <w:basedOn w:val="a"/>
    <w:link w:val="a7"/>
    <w:rsid w:val="00F018BD"/>
    <w:pPr>
      <w:widowControl w:val="0"/>
      <w:shd w:val="clear" w:color="auto" w:fill="FFFFFF"/>
      <w:spacing w:after="260" w:line="264" w:lineRule="auto"/>
      <w:ind w:firstLine="9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Guzalya</dc:creator>
  <cp:keywords/>
  <dc:description/>
  <cp:lastModifiedBy>One</cp:lastModifiedBy>
  <cp:revision>5</cp:revision>
  <cp:lastPrinted>2021-11-15T12:10:00Z</cp:lastPrinted>
  <dcterms:created xsi:type="dcterms:W3CDTF">2022-02-25T07:58:00Z</dcterms:created>
  <dcterms:modified xsi:type="dcterms:W3CDTF">2022-03-11T09:41:00Z</dcterms:modified>
</cp:coreProperties>
</file>