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9B6E2F">
      <w:pPr>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r w:rsidRPr="00436FB7">
        <w:rPr>
          <w:sz w:val="24"/>
          <w:szCs w:val="24"/>
          <w:lang w:val="uz-Cyrl-UZ"/>
        </w:rPr>
        <w:t>Самарқанд Давлат Тиббиёт Институти</w:t>
      </w:r>
      <w:r>
        <w:rPr>
          <w:sz w:val="24"/>
          <w:szCs w:val="24"/>
          <w:lang w:val="uz-Cyrl-UZ"/>
        </w:rPr>
        <w:t xml:space="preserve"> кошидаги академик лицей ётоқхона биносини фасад қисмини жорий таъмирлаш   </w:t>
      </w:r>
      <w:r w:rsidRPr="005B091F">
        <w:rPr>
          <w:sz w:val="24"/>
          <w:szCs w:val="24"/>
          <w:highlight w:val="yellow"/>
          <w:lang w:val="uz-Cyrl-UZ"/>
        </w:rPr>
        <w:t xml:space="preserve"> бўйича </w:t>
      </w:r>
      <w:r w:rsidRPr="008E2D14">
        <w:rPr>
          <w:rFonts w:eastAsia="Calibri"/>
          <w:sz w:val="22"/>
          <w:szCs w:val="22"/>
          <w:lang w:val="uz-Cyrl-UZ" w:eastAsia="en-US"/>
        </w:rPr>
        <w:t>мажбуриятини олади, “Буюртмачи” ушбу хизматларни ва товарларни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бажарувчидан техник шартларга лозим даражадаги 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шартларига мувофиқ кўрсатилган 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Кўрсатиладиган хизматларнинг 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bookmarkStart w:id="0" w:name="_GoBack"/>
      <w:bookmarkEnd w:id="0"/>
    </w:p>
    <w:sectPr w:rsidR="0061648D" w:rsidSect="00DA6823">
      <w:footerReference w:type="even" r:id="rId5"/>
      <w:footerReference w:type="default" r:id="rId6"/>
      <w:pgSz w:w="11909" w:h="16834"/>
      <w:pgMar w:top="1134" w:right="851" w:bottom="851" w:left="127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9B6E2F"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2518E" w:rsidRDefault="009B6E2F" w:rsidP="003460DC">
    <w:pPr>
      <w:pStyle w:val="a3"/>
      <w:ind w:right="360"/>
    </w:pPr>
  </w:p>
  <w:p w:rsidR="0092518E" w:rsidRDefault="009B6E2F"/>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A"/>
    <w:rsid w:val="0061648D"/>
    <w:rsid w:val="009B6E2F"/>
    <w:rsid w:val="00BB6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2326</Words>
  <Characters>13262</Characters>
  <Application>Microsoft Office Word</Application>
  <DocSecurity>0</DocSecurity>
  <Lines>110</Lines>
  <Paragraphs>31</Paragraphs>
  <ScaleCrop>false</ScaleCrop>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2022-03-10T03:46:00Z</dcterms:created>
  <dcterms:modified xsi:type="dcterms:W3CDTF">2022-03-10T03:46:00Z</dcterms:modified>
</cp:coreProperties>
</file>