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6EE2E108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55C06ADB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 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61D9B33D" w14:textId="1476856B" w:rsidR="00564458" w:rsidRPr="00C46797" w:rsidRDefault="00077A40" w:rsidP="00564458">
      <w:pPr>
        <w:spacing w:after="30" w:line="240" w:lineRule="auto"/>
        <w:ind w:left="497"/>
        <w:jc w:val="center"/>
        <w:rPr>
          <w:rFonts w:ascii="Times New Roman" w:hAnsi="Times New Roman" w:cs="Times New Roman"/>
          <w:sz w:val="24"/>
          <w:szCs w:val="24"/>
        </w:rPr>
      </w:pPr>
      <w:r w:rsidRPr="00077A40">
        <w:t xml:space="preserve">"4P 101Б автомобиль </w:t>
      </w:r>
      <w:proofErr w:type="spellStart"/>
      <w:r w:rsidRPr="00077A40">
        <w:t>йулининг</w:t>
      </w:r>
      <w:proofErr w:type="spellEnd"/>
      <w:r w:rsidRPr="00077A40">
        <w:t xml:space="preserve"> 0-1 км </w:t>
      </w:r>
      <w:proofErr w:type="spellStart"/>
      <w:r w:rsidRPr="00077A40">
        <w:t>кисмидаги</w:t>
      </w:r>
      <w:proofErr w:type="spellEnd"/>
      <w:r w:rsidRPr="00077A40">
        <w:t xml:space="preserve"> </w:t>
      </w:r>
      <w:proofErr w:type="spellStart"/>
      <w:r w:rsidRPr="00077A40">
        <w:t>Сурхон</w:t>
      </w:r>
      <w:proofErr w:type="spellEnd"/>
      <w:r w:rsidRPr="00077A40">
        <w:t xml:space="preserve"> </w:t>
      </w:r>
      <w:proofErr w:type="spellStart"/>
      <w:r w:rsidRPr="00077A40">
        <w:t>дарёси</w:t>
      </w:r>
      <w:proofErr w:type="spellEnd"/>
      <w:r w:rsidRPr="00077A40">
        <w:t xml:space="preserve"> </w:t>
      </w:r>
      <w:proofErr w:type="spellStart"/>
      <w:r w:rsidRPr="00077A40">
        <w:t>устидан</w:t>
      </w:r>
      <w:proofErr w:type="spellEnd"/>
      <w:r w:rsidRPr="00077A40">
        <w:t xml:space="preserve"> </w:t>
      </w:r>
      <w:proofErr w:type="spellStart"/>
      <w:r w:rsidRPr="00077A40">
        <w:t>утган</w:t>
      </w:r>
      <w:proofErr w:type="spellEnd"/>
      <w:r w:rsidRPr="00077A40">
        <w:t xml:space="preserve"> </w:t>
      </w:r>
      <w:proofErr w:type="spellStart"/>
      <w:r w:rsidRPr="00077A40">
        <w:t>куприкни</w:t>
      </w:r>
      <w:proofErr w:type="spellEnd"/>
      <w:r w:rsidRPr="00077A40">
        <w:t xml:space="preserve"> кайта </w:t>
      </w:r>
      <w:proofErr w:type="spellStart"/>
      <w:r w:rsidRPr="00077A40">
        <w:t>куриш</w:t>
      </w:r>
      <w:proofErr w:type="spellEnd"/>
      <w:r w:rsidRPr="00077A40">
        <w:t xml:space="preserve">" </w:t>
      </w:r>
      <w:proofErr w:type="spellStart"/>
      <w:r w:rsidRPr="00077A40">
        <w:t>объектига</w:t>
      </w:r>
      <w:proofErr w:type="spellEnd"/>
      <w:r w:rsidRPr="00077A40">
        <w:t xml:space="preserve"> </w:t>
      </w:r>
      <w:proofErr w:type="spellStart"/>
      <w:r w:rsidRPr="00077A40">
        <w:t>керакли</w:t>
      </w:r>
      <w:proofErr w:type="spellEnd"/>
      <w:r w:rsidRPr="00077A40">
        <w:t xml:space="preserve"> </w:t>
      </w:r>
      <w:proofErr w:type="spellStart"/>
      <w:r w:rsidRPr="00077A40">
        <w:t>булган</w:t>
      </w:r>
      <w:proofErr w:type="spellEnd"/>
      <w:r w:rsidRPr="00077A40">
        <w:t xml:space="preserve"> B10, B15, B22,5, B25, B30, B35 </w:t>
      </w:r>
      <w:proofErr w:type="spellStart"/>
      <w:r w:rsidRPr="00077A40">
        <w:t>синфдаги</w:t>
      </w:r>
      <w:proofErr w:type="spellEnd"/>
      <w:r w:rsidRPr="00077A40">
        <w:t xml:space="preserve"> бетон </w:t>
      </w:r>
      <w:proofErr w:type="spellStart"/>
      <w:r w:rsidRPr="00077A40">
        <w:t>коришмаси</w:t>
      </w:r>
      <w:proofErr w:type="spellEnd"/>
      <w:r w:rsidRPr="00077A40">
        <w:t xml:space="preserve"> </w:t>
      </w:r>
      <w:proofErr w:type="spellStart"/>
      <w:r w:rsidRPr="00077A40">
        <w:t>учун</w:t>
      </w:r>
      <w:proofErr w:type="spellEnd"/>
      <w:r w:rsidRPr="00077A40">
        <w:t xml:space="preserve"> </w:t>
      </w:r>
      <w:proofErr w:type="spellStart"/>
      <w:r w:rsidRPr="00077A40">
        <w:t>танланган</w:t>
      </w:r>
      <w:proofErr w:type="spellEnd"/>
      <w:r w:rsidRPr="00077A40">
        <w:t xml:space="preserve"> </w:t>
      </w:r>
      <w:proofErr w:type="spellStart"/>
      <w:r w:rsidRPr="00077A40">
        <w:t>таркиб</w:t>
      </w:r>
      <w:proofErr w:type="spellEnd"/>
      <w:r w:rsidRPr="00077A40">
        <w:t xml:space="preserve"> (подбора состава) </w:t>
      </w:r>
      <w:proofErr w:type="spellStart"/>
      <w:r w:rsidRPr="00077A40">
        <w:t>тайёрлаш</w:t>
      </w:r>
      <w:proofErr w:type="spellEnd"/>
      <w:r w:rsidRPr="00077A40">
        <w:t xml:space="preserve"> </w:t>
      </w:r>
      <w:proofErr w:type="spellStart"/>
      <w:r w:rsidRPr="00077A40">
        <w:t>хизмати</w:t>
      </w:r>
      <w:proofErr w:type="spellEnd"/>
      <w:r w:rsidRPr="00077A40">
        <w:t>.</w:t>
      </w: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B4AA9A4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843" w:rsidRPr="00122C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lastRenderedPageBreak/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73A958A3" w14:textId="684D2625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наилучшего 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77A40" w:rsidRPr="00077A40">
              <w:t xml:space="preserve">"4P 101Б автомобиль </w:t>
            </w:r>
            <w:proofErr w:type="spellStart"/>
            <w:r w:rsidR="00077A40" w:rsidRPr="00077A40">
              <w:t>йулининг</w:t>
            </w:r>
            <w:proofErr w:type="spellEnd"/>
            <w:r w:rsidR="00077A40" w:rsidRPr="00077A40">
              <w:t xml:space="preserve"> 0-1 км </w:t>
            </w:r>
            <w:proofErr w:type="spellStart"/>
            <w:r w:rsidR="00077A40" w:rsidRPr="00077A40">
              <w:t>кисмидаги</w:t>
            </w:r>
            <w:proofErr w:type="spellEnd"/>
            <w:r w:rsidR="00077A40" w:rsidRPr="00077A40">
              <w:t xml:space="preserve"> </w:t>
            </w:r>
            <w:proofErr w:type="spellStart"/>
            <w:r w:rsidR="00077A40" w:rsidRPr="00077A40">
              <w:t>Сурхон</w:t>
            </w:r>
            <w:proofErr w:type="spellEnd"/>
            <w:r w:rsidR="00077A40" w:rsidRPr="00077A40">
              <w:t xml:space="preserve"> </w:t>
            </w:r>
            <w:proofErr w:type="spellStart"/>
            <w:r w:rsidR="00077A40" w:rsidRPr="00077A40">
              <w:t>дарёси</w:t>
            </w:r>
            <w:proofErr w:type="spellEnd"/>
            <w:r w:rsidR="00077A40" w:rsidRPr="00077A40">
              <w:t xml:space="preserve"> </w:t>
            </w:r>
            <w:proofErr w:type="spellStart"/>
            <w:r w:rsidR="00077A40" w:rsidRPr="00077A40">
              <w:t>устидан</w:t>
            </w:r>
            <w:proofErr w:type="spellEnd"/>
            <w:r w:rsidR="00077A40" w:rsidRPr="00077A40">
              <w:t xml:space="preserve"> </w:t>
            </w:r>
            <w:proofErr w:type="spellStart"/>
            <w:r w:rsidR="00077A40" w:rsidRPr="00077A40">
              <w:t>утган</w:t>
            </w:r>
            <w:proofErr w:type="spellEnd"/>
            <w:r w:rsidR="00077A40" w:rsidRPr="00077A40">
              <w:t xml:space="preserve"> </w:t>
            </w:r>
            <w:proofErr w:type="spellStart"/>
            <w:r w:rsidR="00077A40" w:rsidRPr="00077A40">
              <w:t>куприкни</w:t>
            </w:r>
            <w:proofErr w:type="spellEnd"/>
            <w:r w:rsidR="00077A40" w:rsidRPr="00077A40">
              <w:t xml:space="preserve"> кайта </w:t>
            </w:r>
            <w:proofErr w:type="spellStart"/>
            <w:r w:rsidR="00077A40" w:rsidRPr="00077A40">
              <w:t>куриш</w:t>
            </w:r>
            <w:proofErr w:type="spellEnd"/>
            <w:r w:rsidR="00077A40" w:rsidRPr="00077A40">
              <w:t xml:space="preserve">" </w:t>
            </w:r>
            <w:proofErr w:type="spellStart"/>
            <w:r w:rsidR="00077A40" w:rsidRPr="00077A40">
              <w:t>объектига</w:t>
            </w:r>
            <w:proofErr w:type="spellEnd"/>
            <w:r w:rsidR="00077A40" w:rsidRPr="00077A40">
              <w:t xml:space="preserve"> </w:t>
            </w:r>
            <w:proofErr w:type="spellStart"/>
            <w:r w:rsidR="00077A40" w:rsidRPr="00077A40">
              <w:t>керакли</w:t>
            </w:r>
            <w:proofErr w:type="spellEnd"/>
            <w:r w:rsidR="00077A40" w:rsidRPr="00077A40">
              <w:t xml:space="preserve"> </w:t>
            </w:r>
            <w:proofErr w:type="spellStart"/>
            <w:r w:rsidR="00077A40" w:rsidRPr="00077A40">
              <w:t>булган</w:t>
            </w:r>
            <w:proofErr w:type="spellEnd"/>
            <w:r w:rsidR="00077A40" w:rsidRPr="00077A40">
              <w:t xml:space="preserve"> B10, B15, B22,5, B25, B30, B35 </w:t>
            </w:r>
            <w:proofErr w:type="spellStart"/>
            <w:r w:rsidR="00077A40" w:rsidRPr="00077A40">
              <w:t>синфдаги</w:t>
            </w:r>
            <w:proofErr w:type="spellEnd"/>
            <w:r w:rsidR="00077A40" w:rsidRPr="00077A40">
              <w:t xml:space="preserve"> бетон </w:t>
            </w:r>
            <w:proofErr w:type="spellStart"/>
            <w:r w:rsidR="00077A40" w:rsidRPr="00077A40">
              <w:t>коришмаси</w:t>
            </w:r>
            <w:proofErr w:type="spellEnd"/>
            <w:r w:rsidR="00077A40" w:rsidRPr="00077A40">
              <w:t xml:space="preserve"> </w:t>
            </w:r>
            <w:proofErr w:type="spellStart"/>
            <w:r w:rsidR="00077A40" w:rsidRPr="00077A40">
              <w:t>учун</w:t>
            </w:r>
            <w:proofErr w:type="spellEnd"/>
            <w:r w:rsidR="00077A40" w:rsidRPr="00077A40">
              <w:t xml:space="preserve"> </w:t>
            </w:r>
            <w:proofErr w:type="spellStart"/>
            <w:r w:rsidR="00077A40" w:rsidRPr="00077A40">
              <w:t>танланган</w:t>
            </w:r>
            <w:proofErr w:type="spellEnd"/>
            <w:r w:rsidR="00077A40" w:rsidRPr="00077A40">
              <w:t xml:space="preserve"> </w:t>
            </w:r>
            <w:proofErr w:type="spellStart"/>
            <w:r w:rsidR="00077A40" w:rsidRPr="00077A40">
              <w:t>таркиб</w:t>
            </w:r>
            <w:proofErr w:type="spellEnd"/>
            <w:r w:rsidR="00077A40" w:rsidRPr="00077A40">
              <w:t xml:space="preserve"> (подбора состава) </w:t>
            </w:r>
            <w:proofErr w:type="spellStart"/>
            <w:r w:rsidR="00077A40" w:rsidRPr="00077A40">
              <w:t>тайёрлаш</w:t>
            </w:r>
            <w:proofErr w:type="spellEnd"/>
            <w:r w:rsidR="00077A40" w:rsidRPr="00077A40">
              <w:t xml:space="preserve"> </w:t>
            </w:r>
            <w:proofErr w:type="spellStart"/>
            <w:r w:rsidR="00077A40" w:rsidRPr="00077A40">
              <w:t>хизмати</w:t>
            </w:r>
            <w:proofErr w:type="spellEnd"/>
            <w:r w:rsidR="00077A40" w:rsidRPr="00077A40">
              <w:t>.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1B628E68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49347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наилучшего предложения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66A889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0D4FED7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="00493473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64144AF" w14:textId="09CBDB24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3F266F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200662191</w:t>
            </w:r>
          </w:p>
          <w:p w14:paraId="40F4F1D3" w14:textId="623FA27B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3F266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22626000300129315002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487FC8C9" w:rsidR="007E38DF" w:rsidRDefault="003F266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Ураев В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6B0335FF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1E3B0C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="001628C2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25BD812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5F26B4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какого-либо действия, принятие решения или применение какой-либо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1A7305D7" w:rsidR="007776F4" w:rsidRPr="0037201E" w:rsidRDefault="00EC66FE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состоит из: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00BF50A1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51DC65F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7E6144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2DB0916F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lastRenderedPageBreak/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98BC" w14:textId="77777777" w:rsidR="00EC24C0" w:rsidRDefault="00EC24C0">
      <w:pPr>
        <w:spacing w:after="0" w:line="240" w:lineRule="auto"/>
      </w:pPr>
      <w:r>
        <w:separator/>
      </w:r>
    </w:p>
  </w:endnote>
  <w:endnote w:type="continuationSeparator" w:id="0">
    <w:p w14:paraId="4DCCDABA" w14:textId="77777777" w:rsidR="00EC24C0" w:rsidRDefault="00EC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EC24C0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EC24C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EC24C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6580" w14:textId="77777777" w:rsidR="00EC24C0" w:rsidRDefault="00EC24C0">
      <w:pPr>
        <w:spacing w:after="0" w:line="240" w:lineRule="auto"/>
      </w:pPr>
      <w:r>
        <w:separator/>
      </w:r>
    </w:p>
  </w:footnote>
  <w:footnote w:type="continuationSeparator" w:id="0">
    <w:p w14:paraId="2500CACB" w14:textId="77777777" w:rsidR="00EC24C0" w:rsidRDefault="00EC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EC24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EC24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EC24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77A40"/>
    <w:rsid w:val="000B0052"/>
    <w:rsid w:val="000B4817"/>
    <w:rsid w:val="000E7607"/>
    <w:rsid w:val="000F5D21"/>
    <w:rsid w:val="00122C62"/>
    <w:rsid w:val="001268D4"/>
    <w:rsid w:val="0013284B"/>
    <w:rsid w:val="00155317"/>
    <w:rsid w:val="001628C2"/>
    <w:rsid w:val="00170479"/>
    <w:rsid w:val="001A7F89"/>
    <w:rsid w:val="001F45FB"/>
    <w:rsid w:val="00202FBC"/>
    <w:rsid w:val="00273946"/>
    <w:rsid w:val="002A7122"/>
    <w:rsid w:val="002C5657"/>
    <w:rsid w:val="002C59E3"/>
    <w:rsid w:val="002C718B"/>
    <w:rsid w:val="002D5040"/>
    <w:rsid w:val="00302543"/>
    <w:rsid w:val="003046DF"/>
    <w:rsid w:val="003562E6"/>
    <w:rsid w:val="003601BD"/>
    <w:rsid w:val="003B68E1"/>
    <w:rsid w:val="003C588F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B2DA1"/>
    <w:rsid w:val="005C0303"/>
    <w:rsid w:val="005C72D2"/>
    <w:rsid w:val="005E14D2"/>
    <w:rsid w:val="005E298B"/>
    <w:rsid w:val="00605A67"/>
    <w:rsid w:val="00620EB3"/>
    <w:rsid w:val="00692FAE"/>
    <w:rsid w:val="00694BA5"/>
    <w:rsid w:val="006F3CE2"/>
    <w:rsid w:val="006F7051"/>
    <w:rsid w:val="00726B10"/>
    <w:rsid w:val="00734A4B"/>
    <w:rsid w:val="00770167"/>
    <w:rsid w:val="007776F4"/>
    <w:rsid w:val="00797C46"/>
    <w:rsid w:val="007A4F98"/>
    <w:rsid w:val="007B2452"/>
    <w:rsid w:val="007C1F6C"/>
    <w:rsid w:val="007D3122"/>
    <w:rsid w:val="007D5843"/>
    <w:rsid w:val="007E2E19"/>
    <w:rsid w:val="007E38DF"/>
    <w:rsid w:val="007E6144"/>
    <w:rsid w:val="00843300"/>
    <w:rsid w:val="00846040"/>
    <w:rsid w:val="008A3E5B"/>
    <w:rsid w:val="008B7C0E"/>
    <w:rsid w:val="008C3AAE"/>
    <w:rsid w:val="008D4463"/>
    <w:rsid w:val="008F02EE"/>
    <w:rsid w:val="0090687B"/>
    <w:rsid w:val="009110CE"/>
    <w:rsid w:val="00925652"/>
    <w:rsid w:val="00933961"/>
    <w:rsid w:val="009458C8"/>
    <w:rsid w:val="009551B1"/>
    <w:rsid w:val="009A2AD7"/>
    <w:rsid w:val="009C3DB6"/>
    <w:rsid w:val="009E2D46"/>
    <w:rsid w:val="009F1B95"/>
    <w:rsid w:val="009F4F39"/>
    <w:rsid w:val="00A07ABB"/>
    <w:rsid w:val="00A12F24"/>
    <w:rsid w:val="00A7323D"/>
    <w:rsid w:val="00AA4833"/>
    <w:rsid w:val="00AB028E"/>
    <w:rsid w:val="00AB02C2"/>
    <w:rsid w:val="00AF2C45"/>
    <w:rsid w:val="00B169F0"/>
    <w:rsid w:val="00B83E6B"/>
    <w:rsid w:val="00B8677D"/>
    <w:rsid w:val="00B92362"/>
    <w:rsid w:val="00B96B0E"/>
    <w:rsid w:val="00BC7BC6"/>
    <w:rsid w:val="00C12A17"/>
    <w:rsid w:val="00C67F03"/>
    <w:rsid w:val="00C82183"/>
    <w:rsid w:val="00C8629D"/>
    <w:rsid w:val="00CA394E"/>
    <w:rsid w:val="00CB5A8B"/>
    <w:rsid w:val="00CC2030"/>
    <w:rsid w:val="00CC2137"/>
    <w:rsid w:val="00D1347A"/>
    <w:rsid w:val="00D17F25"/>
    <w:rsid w:val="00D5123E"/>
    <w:rsid w:val="00D80439"/>
    <w:rsid w:val="00D91EF7"/>
    <w:rsid w:val="00D9453E"/>
    <w:rsid w:val="00DA0919"/>
    <w:rsid w:val="00E1404B"/>
    <w:rsid w:val="00E7798F"/>
    <w:rsid w:val="00EC24C0"/>
    <w:rsid w:val="00EC66FE"/>
    <w:rsid w:val="00EF49D1"/>
    <w:rsid w:val="00EF67E0"/>
    <w:rsid w:val="00F01DAA"/>
    <w:rsid w:val="00F2224D"/>
    <w:rsid w:val="00F34571"/>
    <w:rsid w:val="00F42A13"/>
    <w:rsid w:val="00F67A1E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23</cp:revision>
  <dcterms:created xsi:type="dcterms:W3CDTF">2021-04-22T05:26:00Z</dcterms:created>
  <dcterms:modified xsi:type="dcterms:W3CDTF">2022-03-16T15:36:00Z</dcterms:modified>
</cp:coreProperties>
</file>