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контракта для иностранных исполнителям</w:t>
      </w:r>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 xml:space="preserve">г. Алмалык                                 </w:t>
            </w:r>
            <w:proofErr w:type="gramStart"/>
            <w:r w:rsidRPr="00171B17">
              <w:rPr>
                <w:rFonts w:ascii="Arial" w:hAnsi="Arial" w:cs="Arial"/>
                <w:b/>
                <w:sz w:val="16"/>
                <w:szCs w:val="16"/>
                <w:lang w:val="ru-RU"/>
              </w:rPr>
              <w:t xml:space="preserve">   «</w:t>
            </w:r>
            <w:proofErr w:type="gramEnd"/>
            <w:r w:rsidRPr="00171B17">
              <w:rPr>
                <w:rFonts w:ascii="Arial" w:hAnsi="Arial" w:cs="Arial"/>
                <w:b/>
                <w:sz w:val="16"/>
                <w:szCs w:val="16"/>
                <w:lang w:val="ru-RU"/>
              </w:rPr>
              <w:t>____»________________202</w:t>
            </w:r>
            <w:r w:rsidR="00D92D26">
              <w:rPr>
                <w:rFonts w:ascii="Arial" w:hAnsi="Arial" w:cs="Arial"/>
                <w:b/>
                <w:sz w:val="16"/>
                <w:szCs w:val="16"/>
                <w:lang w:val="ru-RU"/>
              </w:rPr>
              <w:t>2</w:t>
            </w:r>
            <w:bookmarkStart w:id="0" w:name="_GoBack"/>
            <w:bookmarkEnd w:id="0"/>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xml:space="preserve">, именуемое в дальнейшем «Заказчик», в лице </w:t>
            </w:r>
            <w:proofErr w:type="spellStart"/>
            <w:r w:rsidRPr="00171B17">
              <w:rPr>
                <w:rFonts w:ascii="Arial" w:hAnsi="Arial" w:cs="Arial"/>
                <w:sz w:val="16"/>
                <w:szCs w:val="16"/>
                <w:lang w:val="ru-RU"/>
              </w:rPr>
              <w:t>И.о</w:t>
            </w:r>
            <w:proofErr w:type="spellEnd"/>
            <w:r w:rsidRPr="00171B17">
              <w:rPr>
                <w:rFonts w:ascii="Arial" w:hAnsi="Arial" w:cs="Arial"/>
                <w:sz w:val="16"/>
                <w:szCs w:val="16"/>
                <w:lang w:val="ru-RU"/>
              </w:rPr>
              <w:t xml:space="preserve">. Заместителя председателя правления по коммерческим вопросам </w:t>
            </w:r>
            <w:proofErr w:type="spellStart"/>
            <w:r w:rsidRPr="00171B17">
              <w:rPr>
                <w:rFonts w:ascii="Arial" w:hAnsi="Arial" w:cs="Arial"/>
                <w:sz w:val="16"/>
                <w:szCs w:val="16"/>
                <w:lang w:val="ru-RU"/>
              </w:rPr>
              <w:t>Исмайилова</w:t>
            </w:r>
            <w:proofErr w:type="spellEnd"/>
            <w:r w:rsidRPr="00171B17">
              <w:rPr>
                <w:rFonts w:ascii="Arial" w:hAnsi="Arial" w:cs="Arial"/>
                <w:sz w:val="16"/>
                <w:szCs w:val="16"/>
                <w:lang w:val="ru-RU"/>
              </w:rPr>
              <w:t xml:space="preserve"> К.Б., действующего на основании Доверенности №19-64 от 13.08.2021 г.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Базис поставки – _______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 xml:space="preserve">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Общая сумма настоящего контракта </w:t>
            </w:r>
            <w:proofErr w:type="gramStart"/>
            <w:r w:rsidRPr="00171B17">
              <w:rPr>
                <w:rFonts w:ascii="Arial" w:hAnsi="Arial" w:cs="Arial"/>
                <w:sz w:val="16"/>
                <w:szCs w:val="16"/>
                <w:lang w:val="ru-RU"/>
              </w:rPr>
              <w:t>составляет:</w:t>
            </w:r>
            <w:r w:rsidRPr="00171B17">
              <w:rPr>
                <w:rFonts w:ascii="Arial" w:hAnsi="Arial" w:cs="Arial"/>
                <w:b/>
                <w:sz w:val="16"/>
                <w:szCs w:val="16"/>
                <w:lang w:val="ru-RU"/>
              </w:rPr>
              <w:t xml:space="preserve">   </w:t>
            </w:r>
            <w:proofErr w:type="gramEnd"/>
            <w:r w:rsidRPr="00171B17">
              <w:rPr>
                <w:rFonts w:ascii="Arial" w:hAnsi="Arial" w:cs="Arial"/>
                <w:b/>
                <w:sz w:val="16"/>
                <w:szCs w:val="16"/>
                <w:lang w:val="ru-RU"/>
              </w:rPr>
              <w:t xml:space="preserve">        </w:t>
            </w:r>
            <w:r w:rsidRPr="00171B17">
              <w:rPr>
                <w:rFonts w:ascii="Arial" w:hAnsi="Arial" w:cs="Arial"/>
                <w:b/>
                <w:sz w:val="16"/>
                <w:szCs w:val="16"/>
                <w:lang w:val="ru-RU"/>
              </w:rPr>
              <w:br/>
              <w:t>_______________ (___________________) _____________, 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 xml:space="preserve">оригинал/дубликат транспортной накладной, свидетельствующей об отгрузке Товара – 1 </w:t>
            </w:r>
            <w:proofErr w:type="spellStart"/>
            <w:r w:rsidRPr="00171B17">
              <w:rPr>
                <w:rFonts w:ascii="Arial" w:hAnsi="Arial" w:cs="Arial"/>
                <w:sz w:val="16"/>
                <w:szCs w:val="16"/>
                <w:lang w:val="ru-RU"/>
              </w:rPr>
              <w:t>экз</w:t>
            </w:r>
            <w:proofErr w:type="spellEnd"/>
            <w:r w:rsidRPr="00171B17">
              <w:rPr>
                <w:rFonts w:ascii="Arial" w:hAnsi="Arial" w:cs="Arial"/>
                <w:sz w:val="16"/>
                <w:szCs w:val="16"/>
                <w:lang w:val="ru-RU"/>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 – 1 копия.</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в исполняющий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t>0,4%</w:t>
            </w:r>
            <w:r w:rsidRPr="00171B17">
              <w:rPr>
                <w:rFonts w:ascii="Arial" w:hAnsi="Arial" w:cs="Arial"/>
                <w:sz w:val="16"/>
                <w:szCs w:val="16"/>
                <w:lang w:val="ru-RU"/>
              </w:rPr>
              <w:t xml:space="preserve"> от стоимости неоплаченного Товара за каждый день 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lastRenderedPageBreak/>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w:t>
            </w:r>
            <w:proofErr w:type="gramStart"/>
            <w:r w:rsidRPr="00171B17">
              <w:rPr>
                <w:rFonts w:ascii="Arial" w:hAnsi="Arial" w:cs="Arial"/>
                <w:sz w:val="16"/>
                <w:szCs w:val="16"/>
                <w:lang w:val="ru-RU"/>
              </w:rPr>
              <w:t>_._</w:t>
            </w:r>
            <w:proofErr w:type="gramEnd"/>
            <w:r w:rsidRPr="00171B17">
              <w:rPr>
                <w:rFonts w:ascii="Arial" w:hAnsi="Arial" w:cs="Arial"/>
                <w:sz w:val="16"/>
                <w:szCs w:val="16"/>
                <w:lang w:val="ru-RU"/>
              </w:rPr>
              <w:t>_. 20__ г.</w:t>
            </w:r>
          </w:p>
          <w:p w:rsidR="007E26C1" w:rsidRPr="00171B17" w:rsidRDefault="007E26C1" w:rsidP="00F35ED0">
            <w:pPr>
              <w:ind w:left="540"/>
              <w:jc w:val="both"/>
              <w:rPr>
                <w:rFonts w:ascii="Arial" w:hAnsi="Arial" w:cs="Arial"/>
                <w:color w:val="000000"/>
                <w:sz w:val="16"/>
                <w:szCs w:val="16"/>
                <w:lang w:val="ru-RU"/>
              </w:rPr>
            </w:pPr>
            <w:r w:rsidRPr="00171B17">
              <w:rPr>
                <w:rFonts w:ascii="Times New Roman" w:hAnsi="Times New Roman"/>
                <w:sz w:val="20"/>
                <w:szCs w:val="20"/>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lastRenderedPageBreak/>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1" w:name="_Toc356488319"/>
            <w:r w:rsidRPr="00171B17">
              <w:rPr>
                <w:rFonts w:ascii="Arial" w:hAnsi="Arial" w:cs="Arial"/>
                <w:b/>
                <w:sz w:val="16"/>
                <w:szCs w:val="16"/>
                <w:lang w:val="ru-RU"/>
              </w:rPr>
              <w:t>ЮРИДИЧЕСКИЕ АДРЕСА И РЕКВИЗИТЫ СТОРОН</w:t>
            </w:r>
          </w:p>
          <w:bookmarkEnd w:id="1"/>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 xml:space="preserve">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 xml:space="preserve">Республика Узбекистан, 110100, г. Алмалык Ташкентской обл., 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171B17" w:rsidRDefault="007E26C1" w:rsidP="00F35ED0">
            <w:pPr>
              <w:rPr>
                <w:rFonts w:ascii="Arial" w:hAnsi="Arial" w:cs="Arial"/>
                <w:sz w:val="16"/>
                <w:szCs w:val="16"/>
              </w:rPr>
            </w:pPr>
          </w:p>
          <w:p w:rsidR="007E26C1" w:rsidRPr="00D92D26" w:rsidRDefault="007E26C1" w:rsidP="00F35ED0">
            <w:pPr>
              <w:rPr>
                <w:rFonts w:ascii="Arial" w:hAnsi="Arial" w:cs="Arial"/>
                <w:b/>
                <w:sz w:val="16"/>
                <w:szCs w:val="16"/>
                <w:lang w:val="ru-RU"/>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____________________, 202</w:t>
            </w:r>
            <w:r w:rsidR="00D92D26">
              <w:rPr>
                <w:rFonts w:ascii="Arial" w:hAnsi="Arial" w:cs="Arial"/>
                <w:b/>
                <w:sz w:val="16"/>
                <w:szCs w:val="16"/>
                <w:lang w:val="ru-RU"/>
              </w:rPr>
              <w:t>2</w:t>
            </w:r>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under the Power of Attorney №19-64 dated 13.08.2021,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2021.</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171B17" w:rsidRDefault="007E26C1" w:rsidP="007E26C1">
            <w:pPr>
              <w:numPr>
                <w:ilvl w:val="0"/>
                <w:numId w:val="2"/>
              </w:numPr>
              <w:tabs>
                <w:tab w:val="clear" w:pos="397"/>
              </w:tabs>
              <w:ind w:left="567" w:hanging="27"/>
              <w:jc w:val="both"/>
              <w:rPr>
                <w:rFonts w:ascii="Arial" w:hAnsi="Arial" w:cs="Arial"/>
                <w:sz w:val="16"/>
                <w:szCs w:val="16"/>
              </w:rPr>
            </w:pPr>
            <w:r w:rsidRPr="00171B17">
              <w:rPr>
                <w:rFonts w:ascii="Arial" w:hAnsi="Arial" w:cs="Arial"/>
                <w:sz w:val="16"/>
                <w:szCs w:val="16"/>
              </w:rPr>
              <w:t>Certificate of origin issued by Chamber of Commerce 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waybill</w:t>
            </w:r>
            <w:proofErr w:type="gramEnd"/>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in</w:t>
            </w:r>
            <w:proofErr w:type="gramEnd"/>
            <w:r w:rsidRPr="00171B17">
              <w:rPr>
                <w:rFonts w:ascii="Arial" w:hAnsi="Arial" w:cs="Arial"/>
                <w:sz w:val="16"/>
                <w:szCs w:val="16"/>
              </w:rPr>
              <w:t xml:space="preserve">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xml:space="preserve">, </w:t>
            </w:r>
            <w:proofErr w:type="gramStart"/>
            <w:r w:rsidRPr="00171B17">
              <w:rPr>
                <w:rFonts w:ascii="Arial" w:hAnsi="Arial" w:cs="Arial"/>
                <w:sz w:val="16"/>
                <w:szCs w:val="16"/>
              </w:rPr>
              <w:t>The</w:t>
            </w:r>
            <w:proofErr w:type="gramEnd"/>
            <w:r w:rsidRPr="00171B17">
              <w:rPr>
                <w:rFonts w:ascii="Arial" w:hAnsi="Arial" w:cs="Arial"/>
                <w:sz w:val="16"/>
                <w:szCs w:val="16"/>
              </w:rPr>
              <w:t xml:space="preserv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lastRenderedPageBreak/>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original/double copy of the bill of lading confirming the shipment of the Goods  – 1  original;</w:t>
            </w:r>
          </w:p>
          <w:p w:rsidR="007E26C1" w:rsidRPr="00171B17"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t>The Certificate of origin issued by Chamber of Commerce of the country of export – 1  copy;</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amount of penalty shall not exceed </w:t>
            </w:r>
            <w:r w:rsidRPr="00171B17">
              <w:rPr>
                <w:rFonts w:ascii="Arial" w:hAnsi="Arial" w:cs="Arial"/>
                <w:b/>
                <w:sz w:val="16"/>
                <w:szCs w:val="16"/>
              </w:rPr>
              <w:t>50%</w:t>
            </w:r>
            <w:r w:rsidRPr="00171B17">
              <w:rPr>
                <w:rFonts w:ascii="Arial" w:hAnsi="Arial" w:cs="Arial"/>
                <w:sz w:val="16"/>
                <w:szCs w:val="16"/>
              </w:rPr>
              <w:t xml:space="preserve"> of the unpaid 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lastRenderedPageBreak/>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w:t>
      </w:r>
      <w:proofErr w:type="gramStart"/>
      <w:r w:rsidRPr="00F04D27">
        <w:rPr>
          <w:rFonts w:ascii="Arial" w:hAnsi="Arial" w:cs="Arial"/>
          <w:i/>
          <w:sz w:val="18"/>
          <w:szCs w:val="18"/>
          <w:lang w:val="ru-RU"/>
        </w:rPr>
        <w:t>_»_</w:t>
      </w:r>
      <w:proofErr w:type="gramEnd"/>
      <w:r w:rsidRPr="00F04D27">
        <w:rPr>
          <w:rFonts w:ascii="Arial" w:hAnsi="Arial" w:cs="Arial"/>
          <w:i/>
          <w:sz w:val="18"/>
          <w:szCs w:val="18"/>
          <w:lang w:val="ru-RU"/>
        </w:rPr>
        <w:t>_____</w:t>
      </w:r>
      <w:r>
        <w:rPr>
          <w:rFonts w:ascii="Arial" w:hAnsi="Arial" w:cs="Arial"/>
          <w:i/>
          <w:sz w:val="18"/>
          <w:szCs w:val="18"/>
          <w:lang w:val="ru-RU"/>
        </w:rPr>
        <w:t>_____202</w:t>
      </w:r>
      <w:r w:rsidR="00D92D26">
        <w:rPr>
          <w:rFonts w:ascii="Arial" w:hAnsi="Arial" w:cs="Arial"/>
          <w:i/>
          <w:sz w:val="18"/>
          <w:szCs w:val="18"/>
          <w:lang w:val="ru-RU"/>
        </w:rPr>
        <w:t>2</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D92D26"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договора для отечественных исполнителям</w:t>
      </w:r>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w:t>
      </w:r>
      <w:r w:rsidR="00D92D26">
        <w:rPr>
          <w:rFonts w:ascii="Times New Roman" w:hAnsi="Times New Roman"/>
          <w:b/>
          <w:noProof/>
          <w:sz w:val="20"/>
          <w:szCs w:val="20"/>
          <w:lang w:val="ru-RU"/>
        </w:rPr>
        <w:t xml:space="preserve">        «____» ____________ 2022</w:t>
      </w:r>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w:t>
      </w:r>
      <w:proofErr w:type="spellStart"/>
      <w:r w:rsidRPr="004377D6">
        <w:rPr>
          <w:rFonts w:ascii="Times New Roman" w:hAnsi="Times New Roman"/>
          <w:b/>
          <w:sz w:val="20"/>
          <w:szCs w:val="20"/>
        </w:rPr>
        <w:t>Алмалыкский</w:t>
      </w:r>
      <w:proofErr w:type="spellEnd"/>
      <w:r w:rsidRPr="004377D6">
        <w:rPr>
          <w:rFonts w:ascii="Times New Roman" w:hAnsi="Times New Roman"/>
          <w:b/>
          <w:sz w:val="20"/>
          <w:szCs w:val="20"/>
        </w:rPr>
        <w:t xml:space="preserve"> горно-металлургический комбинат»</w:t>
      </w:r>
      <w:r w:rsidRPr="004377D6">
        <w:rPr>
          <w:rFonts w:ascii="Times New Roman" w:hAnsi="Times New Roman"/>
          <w:sz w:val="20"/>
          <w:szCs w:val="20"/>
        </w:rPr>
        <w:t xml:space="preserve">, именуемое в дальнейшем ЗАКАЗЧИК, в лице </w:t>
      </w:r>
      <w:proofErr w:type="spellStart"/>
      <w:r>
        <w:rPr>
          <w:rFonts w:ascii="Times New Roman" w:hAnsi="Times New Roman"/>
          <w:sz w:val="20"/>
          <w:szCs w:val="20"/>
        </w:rPr>
        <w:t>И</w:t>
      </w:r>
      <w:r w:rsidRPr="004377D6">
        <w:rPr>
          <w:rFonts w:ascii="Times New Roman" w:hAnsi="Times New Roman"/>
          <w:sz w:val="20"/>
          <w:szCs w:val="20"/>
        </w:rPr>
        <w:t>.о.заместителя</w:t>
      </w:r>
      <w:proofErr w:type="spellEnd"/>
      <w:r w:rsidRPr="004377D6">
        <w:rPr>
          <w:rFonts w:ascii="Times New Roman" w:hAnsi="Times New Roman"/>
          <w:sz w:val="20"/>
          <w:szCs w:val="20"/>
        </w:rPr>
        <w:t xml:space="preserve"> председателя правления по коммерческим вопросам</w:t>
      </w:r>
      <w:r>
        <w:rPr>
          <w:rFonts w:ascii="Times New Roman" w:hAnsi="Times New Roman"/>
          <w:sz w:val="20"/>
          <w:szCs w:val="20"/>
        </w:rPr>
        <w:t xml:space="preserve"> </w:t>
      </w:r>
      <w:proofErr w:type="spellStart"/>
      <w:r>
        <w:rPr>
          <w:rFonts w:ascii="Times New Roman" w:hAnsi="Times New Roman"/>
          <w:sz w:val="20"/>
          <w:szCs w:val="20"/>
        </w:rPr>
        <w:t>Исмайилова</w:t>
      </w:r>
      <w:proofErr w:type="spellEnd"/>
      <w:r>
        <w:rPr>
          <w:rFonts w:ascii="Times New Roman" w:hAnsi="Times New Roman"/>
          <w:sz w:val="20"/>
          <w:szCs w:val="20"/>
        </w:rPr>
        <w:t xml:space="preserve">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D92D26"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 xml:space="preserve">(____________________________) </w:t>
      </w:r>
      <w:proofErr w:type="spellStart"/>
      <w:r w:rsidRPr="004377D6">
        <w:rPr>
          <w:rFonts w:ascii="Times New Roman" w:hAnsi="Times New Roman"/>
          <w:sz w:val="20"/>
          <w:szCs w:val="20"/>
          <w:lang w:val="ru-RU"/>
        </w:rPr>
        <w:t>сум</w:t>
      </w:r>
      <w:proofErr w:type="spellEnd"/>
      <w:r w:rsidRPr="004377D6">
        <w:rPr>
          <w:rFonts w:ascii="Times New Roman" w:hAnsi="Times New Roman"/>
          <w:sz w:val="20"/>
          <w:szCs w:val="20"/>
          <w:lang w:val="ru-RU"/>
        </w:rPr>
        <w:t xml:space="preserve"> ___ </w:t>
      </w:r>
      <w:proofErr w:type="spellStart"/>
      <w:r w:rsidRPr="004377D6">
        <w:rPr>
          <w:rFonts w:ascii="Times New Roman" w:hAnsi="Times New Roman"/>
          <w:sz w:val="20"/>
          <w:szCs w:val="20"/>
          <w:lang w:val="ru-RU"/>
        </w:rPr>
        <w:t>тийин</w:t>
      </w:r>
      <w:proofErr w:type="spellEnd"/>
      <w:r w:rsidRPr="004377D6">
        <w:rPr>
          <w:rFonts w:ascii="Times New Roman" w:hAnsi="Times New Roman"/>
          <w:sz w:val="20"/>
          <w:szCs w:val="20"/>
          <w:lang w:val="ru-RU"/>
        </w:rPr>
        <w:t xml:space="preserve">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поставки товара в пункт назначения.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lastRenderedPageBreak/>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CA539D"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lastRenderedPageBreak/>
        <w:t>ПОРЯДОК РАЗРЕШЕНИЯ СПОРОВ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w:t>
      </w:r>
      <w:proofErr w:type="gramStart"/>
      <w:r w:rsidRPr="00171B17">
        <w:rPr>
          <w:rFonts w:ascii="Times New Roman" w:hAnsi="Times New Roman"/>
          <w:sz w:val="20"/>
          <w:szCs w:val="20"/>
          <w:lang w:val="ru-RU"/>
        </w:rPr>
        <w:t>_._</w:t>
      </w:r>
      <w:proofErr w:type="gramEnd"/>
      <w:r w:rsidRPr="00171B17">
        <w:rPr>
          <w:rFonts w:ascii="Times New Roman" w:hAnsi="Times New Roman"/>
          <w:sz w:val="20"/>
          <w:szCs w:val="20"/>
          <w:lang w:val="ru-RU"/>
        </w:rPr>
        <w:t>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w:t>
            </w:r>
            <w:proofErr w:type="spellStart"/>
            <w:r w:rsidRPr="004377D6">
              <w:rPr>
                <w:sz w:val="20"/>
                <w:lang w:val="ru-RU"/>
              </w:rPr>
              <w:t>Алмалыкский</w:t>
            </w:r>
            <w:proofErr w:type="spellEnd"/>
            <w:r w:rsidRPr="004377D6">
              <w:rPr>
                <w:sz w:val="20"/>
                <w:lang w:val="ru-RU"/>
              </w:rPr>
              <w:t xml:space="preserve">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proofErr w:type="gramStart"/>
            <w:r w:rsidRPr="004377D6">
              <w:rPr>
                <w:sz w:val="20"/>
                <w:lang w:val="ru-RU"/>
              </w:rPr>
              <w:t>г.Алмалык,ул.А.Темура</w:t>
            </w:r>
            <w:proofErr w:type="spellEnd"/>
            <w:proofErr w:type="gram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 xml:space="preserve">в </w:t>
            </w:r>
            <w:proofErr w:type="gramStart"/>
            <w:r w:rsidRPr="004377D6">
              <w:rPr>
                <w:sz w:val="20"/>
                <w:lang w:val="ru-RU"/>
              </w:rPr>
              <w:t>АКИБ  «</w:t>
            </w:r>
            <w:proofErr w:type="gramEnd"/>
            <w:r w:rsidRPr="004377D6">
              <w:rPr>
                <w:sz w:val="20"/>
                <w:lang w:val="ru-RU"/>
              </w:rPr>
              <w:t>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proofErr w:type="spellStart"/>
            <w:r>
              <w:rPr>
                <w:rFonts w:ascii="Times New Roman" w:hAnsi="Times New Roman"/>
                <w:b/>
                <w:sz w:val="20"/>
                <w:szCs w:val="20"/>
              </w:rPr>
              <w:t>И</w:t>
            </w:r>
            <w:r w:rsidRPr="004377D6">
              <w:rPr>
                <w:rFonts w:ascii="Times New Roman" w:hAnsi="Times New Roman"/>
                <w:b/>
                <w:sz w:val="20"/>
                <w:szCs w:val="20"/>
              </w:rPr>
              <w:t>.о</w:t>
            </w:r>
            <w:proofErr w:type="spellEnd"/>
            <w:r w:rsidRPr="004377D6">
              <w:rPr>
                <w:rFonts w:ascii="Times New Roman" w:hAnsi="Times New Roman"/>
                <w:b/>
                <w:sz w:val="20"/>
                <w:szCs w:val="20"/>
              </w:rPr>
              <w:t>.</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proofErr w:type="spellStart"/>
            <w:r w:rsidRPr="00715E41">
              <w:rPr>
                <w:rFonts w:ascii="Times New Roman" w:hAnsi="Times New Roman"/>
                <w:b/>
                <w:sz w:val="20"/>
                <w:szCs w:val="20"/>
              </w:rPr>
              <w:t>Исмайилов</w:t>
            </w:r>
            <w:proofErr w:type="spellEnd"/>
            <w:r w:rsidRPr="00715E41">
              <w:rPr>
                <w:rFonts w:ascii="Times New Roman" w:hAnsi="Times New Roman"/>
                <w:b/>
                <w:sz w:val="20"/>
                <w:szCs w:val="20"/>
              </w:rPr>
              <w:t xml:space="preserve">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7E26C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61285B"/>
    <w:rsid w:val="007E26C1"/>
    <w:rsid w:val="00D92D26"/>
    <w:rsid w:val="00DC2DD8"/>
    <w:rsid w:val="00E4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6334</Words>
  <Characters>36106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Сайдалиев Рамзиддин Гафурович</cp:lastModifiedBy>
  <cp:revision>4</cp:revision>
  <dcterms:created xsi:type="dcterms:W3CDTF">2022-01-10T04:32:00Z</dcterms:created>
  <dcterms:modified xsi:type="dcterms:W3CDTF">2022-01-10T11:23:00Z</dcterms:modified>
</cp:coreProperties>
</file>