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Товар-моддий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8B02D8">
        <w:rPr>
          <w:sz w:val="20"/>
          <w:szCs w:val="20"/>
        </w:rPr>
        <w:t>Фар</w:t>
      </w:r>
      <w:r w:rsidR="008B02D8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8B02D8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 w:rsidRPr="008B02D8">
        <w:rPr>
          <w:bCs/>
          <w:sz w:val="20"/>
          <w:szCs w:val="20"/>
          <w:u w:val="single"/>
          <w:lang w:val="uz-Cyrl-UZ"/>
        </w:rPr>
        <w:t>Фарғона шаҳар ҳокимлиги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 w:rsidR="00723366" w:rsidRPr="008B02D8">
        <w:rPr>
          <w:sz w:val="20"/>
          <w:szCs w:val="20"/>
          <w:u w:val="single"/>
          <w:lang w:val="uz-Cyrl-UZ"/>
        </w:rPr>
        <w:t xml:space="preserve">шаҳар ҳокими </w:t>
      </w:r>
      <w:r w:rsidRPr="008B02D8">
        <w:rPr>
          <w:sz w:val="20"/>
          <w:szCs w:val="20"/>
          <w:u w:val="single"/>
        </w:rPr>
        <w:t xml:space="preserve">Назаров </w:t>
      </w:r>
      <w:proofErr w:type="spellStart"/>
      <w:r w:rsidRPr="008B02D8">
        <w:rPr>
          <w:sz w:val="20"/>
          <w:szCs w:val="20"/>
          <w:u w:val="single"/>
        </w:rPr>
        <w:t>Восилжон</w:t>
      </w:r>
      <w:proofErr w:type="spellEnd"/>
      <w:r w:rsidRPr="008B02D8">
        <w:rPr>
          <w:sz w:val="20"/>
          <w:szCs w:val="20"/>
          <w:u w:val="single"/>
        </w:rPr>
        <w:t xml:space="preserve"> </w:t>
      </w:r>
      <w:proofErr w:type="spellStart"/>
      <w:r w:rsidRPr="008B02D8">
        <w:rPr>
          <w:sz w:val="20"/>
          <w:szCs w:val="20"/>
          <w:u w:val="single"/>
        </w:rPr>
        <w:t>Шухративич</w:t>
      </w:r>
      <w:proofErr w:type="spellEnd"/>
      <w:r w:rsidR="00FE527B"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370"/>
        <w:gridCol w:w="1134"/>
        <w:gridCol w:w="1134"/>
        <w:gridCol w:w="1440"/>
        <w:gridCol w:w="1724"/>
      </w:tblGrid>
      <w:tr w:rsidR="009B38E8" w:rsidRPr="00BA19D7" w:rsidTr="00D272CF">
        <w:trPr>
          <w:trHeight w:val="565"/>
          <w:jc w:val="center"/>
        </w:trPr>
        <w:tc>
          <w:tcPr>
            <w:tcW w:w="450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70" w:type="dxa"/>
            <w:vAlign w:val="center"/>
          </w:tcPr>
          <w:p w:rsidR="009B38E8" w:rsidRPr="0053146F" w:rsidRDefault="009B38E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Товарнинг</w:t>
            </w:r>
            <w:proofErr w:type="spellEnd"/>
            <w:r w:rsidRPr="0053146F">
              <w:rPr>
                <w:sz w:val="20"/>
                <w:szCs w:val="20"/>
              </w:rPr>
              <w:t xml:space="preserve"> </w:t>
            </w:r>
            <w:proofErr w:type="spellStart"/>
            <w:r w:rsidRPr="0053146F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53146F" w:rsidRDefault="0067594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Ў</w:t>
            </w:r>
            <w:r w:rsidR="009B38E8" w:rsidRPr="0053146F">
              <w:rPr>
                <w:sz w:val="20"/>
                <w:szCs w:val="20"/>
              </w:rPr>
              <w:t>лчов</w:t>
            </w:r>
            <w:proofErr w:type="spellEnd"/>
          </w:p>
          <w:p w:rsidR="009B38E8" w:rsidRPr="0053146F" w:rsidRDefault="0067594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б</w:t>
            </w:r>
            <w:r w:rsidR="009B38E8" w:rsidRPr="0053146F">
              <w:rPr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53146F" w:rsidRDefault="009B38E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Ми</w:t>
            </w:r>
            <w:r w:rsidR="00675948" w:rsidRPr="0053146F">
              <w:rPr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53146F" w:rsidRDefault="009B38E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53146F" w:rsidRDefault="009B38E8" w:rsidP="0085356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D272CF">
        <w:trPr>
          <w:trHeight w:val="306"/>
          <w:jc w:val="center"/>
        </w:trPr>
        <w:tc>
          <w:tcPr>
            <w:tcW w:w="450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70" w:type="dxa"/>
            <w:tcBorders>
              <w:top w:val="nil"/>
            </w:tcBorders>
            <w:vAlign w:val="center"/>
          </w:tcPr>
          <w:p w:rsidR="00860E56" w:rsidRPr="00D272CF" w:rsidRDefault="00D272CF" w:rsidP="00860E56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  <w:t>Тенисный рагатка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D272CF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D272CF">
        <w:trPr>
          <w:trHeight w:val="264"/>
          <w:jc w:val="center"/>
        </w:trPr>
        <w:tc>
          <w:tcPr>
            <w:tcW w:w="450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70" w:type="dxa"/>
            <w:vAlign w:val="center"/>
          </w:tcPr>
          <w:p w:rsidR="00860E56" w:rsidRPr="00D272CF" w:rsidRDefault="00D272CF" w:rsidP="007C0A17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  <w:r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Шахмат катта</w:t>
            </w:r>
          </w:p>
        </w:tc>
        <w:tc>
          <w:tcPr>
            <w:tcW w:w="113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860E56" w:rsidRPr="00D272CF" w:rsidRDefault="00D272CF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40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CE1934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CE1934" w:rsidRPr="0053146F" w:rsidRDefault="00D272C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370" w:type="dxa"/>
            <w:vAlign w:val="center"/>
          </w:tcPr>
          <w:p w:rsidR="00CE1934" w:rsidRPr="0053146F" w:rsidRDefault="00D272CF" w:rsidP="00D272CF">
            <w:pPr>
              <w:spacing w:line="20" w:lineRule="atLeast"/>
              <w:ind w:left="-284" w:right="-203"/>
              <w:jc w:val="both"/>
              <w:rPr>
                <w:sz w:val="18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 xml:space="preserve">      </w:t>
            </w:r>
            <w:r w:rsidRPr="0053146F">
              <w:rPr>
                <w:sz w:val="18"/>
                <w:szCs w:val="20"/>
                <w:lang w:val="uz-Cyrl-UZ"/>
              </w:rPr>
              <w:t>Шахмат кичик</w:t>
            </w:r>
          </w:p>
        </w:tc>
        <w:tc>
          <w:tcPr>
            <w:tcW w:w="1134" w:type="dxa"/>
            <w:vAlign w:val="center"/>
          </w:tcPr>
          <w:p w:rsidR="00CE1934" w:rsidRPr="0053146F" w:rsidRDefault="00D272C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CE1934" w:rsidRPr="0053146F" w:rsidRDefault="00D272CF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53146F" w:rsidRDefault="00D272CF" w:rsidP="00BA613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370" w:type="dxa"/>
            <w:vAlign w:val="center"/>
          </w:tcPr>
          <w:p w:rsidR="00D272CF" w:rsidRPr="0053146F" w:rsidRDefault="00D272CF" w:rsidP="00D272CF">
            <w:pPr>
              <w:spacing w:line="20" w:lineRule="atLeast"/>
              <w:ind w:left="-284" w:right="-203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П   пичок набор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BA613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BA613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:rsidR="00D272CF" w:rsidRPr="00BA19D7" w:rsidRDefault="00D272CF" w:rsidP="00BA613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D272CF" w:rsidRPr="00BA19D7" w:rsidRDefault="00D272CF" w:rsidP="00BA613F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53146F" w:rsidRDefault="00D272CF" w:rsidP="0073112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4370" w:type="dxa"/>
            <w:vAlign w:val="center"/>
          </w:tcPr>
          <w:p w:rsidR="00D272CF" w:rsidRPr="0053146F" w:rsidRDefault="00D272CF" w:rsidP="00D272CF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 xml:space="preserve">      </w:t>
            </w:r>
            <w:proofErr w:type="spellStart"/>
            <w:r w:rsidRPr="0053146F">
              <w:rPr>
                <w:sz w:val="20"/>
                <w:szCs w:val="20"/>
              </w:rPr>
              <w:t>Компиютер</w:t>
            </w:r>
            <w:proofErr w:type="spellEnd"/>
            <w:r w:rsidRPr="0053146F">
              <w:rPr>
                <w:sz w:val="20"/>
                <w:szCs w:val="20"/>
              </w:rPr>
              <w:t xml:space="preserve"> </w:t>
            </w:r>
            <w:proofErr w:type="spellStart"/>
            <w:r w:rsidRPr="0053146F">
              <w:rPr>
                <w:sz w:val="20"/>
                <w:szCs w:val="20"/>
              </w:rPr>
              <w:t>учун</w:t>
            </w:r>
            <w:proofErr w:type="spellEnd"/>
            <w:r w:rsidRPr="0053146F">
              <w:rPr>
                <w:sz w:val="20"/>
                <w:szCs w:val="20"/>
              </w:rPr>
              <w:t xml:space="preserve"> наушник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73112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73112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D272CF" w:rsidRPr="00BA19D7" w:rsidRDefault="00D272CF" w:rsidP="00731124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D272CF" w:rsidRPr="00BA19D7" w:rsidRDefault="00D272CF" w:rsidP="00731124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53146F" w:rsidRDefault="00D272CF" w:rsidP="00611F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4370" w:type="dxa"/>
            <w:vAlign w:val="center"/>
          </w:tcPr>
          <w:p w:rsidR="00D272CF" w:rsidRPr="0053146F" w:rsidRDefault="00D272CF" w:rsidP="00D272CF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 xml:space="preserve">      А-4 </w:t>
            </w:r>
            <w:proofErr w:type="spellStart"/>
            <w:r w:rsidRPr="0053146F">
              <w:rPr>
                <w:sz w:val="20"/>
                <w:szCs w:val="20"/>
              </w:rPr>
              <w:t>форматдаги</w:t>
            </w:r>
            <w:proofErr w:type="spellEnd"/>
            <w:r w:rsidRPr="0053146F">
              <w:rPr>
                <w:sz w:val="20"/>
                <w:szCs w:val="20"/>
              </w:rPr>
              <w:t xml:space="preserve"> рамка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611F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611F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D272CF" w:rsidRPr="00BA19D7" w:rsidRDefault="00D272CF" w:rsidP="00611F1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D272CF" w:rsidRPr="00BA19D7" w:rsidRDefault="00D272CF" w:rsidP="00611F13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53146F" w:rsidRDefault="00D272CF" w:rsidP="00D9408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4370" w:type="dxa"/>
            <w:vAlign w:val="center"/>
          </w:tcPr>
          <w:p w:rsidR="00D272CF" w:rsidRPr="0053146F" w:rsidRDefault="00D272CF" w:rsidP="00D272CF">
            <w:pPr>
              <w:spacing w:line="20" w:lineRule="atLeast"/>
              <w:ind w:left="-284" w:right="-203"/>
              <w:jc w:val="both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 xml:space="preserve">      А-4 формат лист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D9408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D9408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D272CF" w:rsidRPr="00BA19D7" w:rsidRDefault="00D272CF" w:rsidP="00D9408F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D272CF" w:rsidRPr="00BA19D7" w:rsidRDefault="00D272CF" w:rsidP="00D9408F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53146F" w:rsidRDefault="00D272CF" w:rsidP="0063348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 w:rsidRPr="0053146F"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4370" w:type="dxa"/>
            <w:vAlign w:val="center"/>
          </w:tcPr>
          <w:p w:rsidR="00D272CF" w:rsidRPr="0053146F" w:rsidRDefault="00D272CF" w:rsidP="00D272CF">
            <w:pPr>
              <w:spacing w:line="20" w:lineRule="atLeast"/>
              <w:ind w:left="-284" w:right="-203"/>
              <w:jc w:val="both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 xml:space="preserve">      </w:t>
            </w:r>
            <w:proofErr w:type="spellStart"/>
            <w:r w:rsidRPr="0053146F">
              <w:rPr>
                <w:sz w:val="20"/>
                <w:szCs w:val="20"/>
              </w:rPr>
              <w:t>медал</w:t>
            </w:r>
            <w:proofErr w:type="spellEnd"/>
          </w:p>
        </w:tc>
        <w:tc>
          <w:tcPr>
            <w:tcW w:w="1134" w:type="dxa"/>
            <w:vAlign w:val="center"/>
          </w:tcPr>
          <w:p w:rsidR="00D272CF" w:rsidRPr="0053146F" w:rsidRDefault="00D272CF" w:rsidP="0063348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D272CF" w:rsidRPr="0053146F" w:rsidRDefault="00D272CF" w:rsidP="00633484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53146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D272CF" w:rsidRPr="00BA19D7" w:rsidRDefault="00D272CF" w:rsidP="00633484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D272CF" w:rsidRPr="00BA19D7" w:rsidRDefault="00D272CF" w:rsidP="00633484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272CF" w:rsidRPr="00BA19D7" w:rsidTr="00D272CF">
        <w:trPr>
          <w:trHeight w:val="264"/>
          <w:jc w:val="center"/>
        </w:trPr>
        <w:tc>
          <w:tcPr>
            <w:tcW w:w="450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70" w:type="dxa"/>
            <w:vAlign w:val="center"/>
          </w:tcPr>
          <w:p w:rsidR="00D272CF" w:rsidRPr="0053146F" w:rsidRDefault="00D272CF" w:rsidP="002127FD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53146F">
              <w:rPr>
                <w:sz w:val="20"/>
                <w:szCs w:val="20"/>
              </w:rPr>
              <w:t>Жами</w:t>
            </w:r>
            <w:proofErr w:type="spellEnd"/>
            <w:r w:rsidRPr="0053146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24" w:type="dxa"/>
            <w:vAlign w:val="center"/>
          </w:tcPr>
          <w:p w:rsidR="00D272CF" w:rsidRPr="00BA19D7" w:rsidRDefault="00D272CF" w:rsidP="002127F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8B02D8">
        <w:rPr>
          <w:sz w:val="20"/>
          <w:szCs w:val="20"/>
        </w:rPr>
        <w:t>Товарларнинг</w:t>
      </w:r>
      <w:proofErr w:type="spellEnd"/>
      <w:r w:rsidRPr="008B02D8">
        <w:rPr>
          <w:sz w:val="20"/>
          <w:szCs w:val="20"/>
        </w:rPr>
        <w:t xml:space="preserve"> </w:t>
      </w:r>
      <w:proofErr w:type="spellStart"/>
      <w:r w:rsidRPr="008B02D8">
        <w:rPr>
          <w:sz w:val="20"/>
          <w:szCs w:val="20"/>
        </w:rPr>
        <w:t>шартномавий</w:t>
      </w:r>
      <w:proofErr w:type="spellEnd"/>
      <w:r w:rsidRPr="008B02D8">
        <w:rPr>
          <w:sz w:val="20"/>
          <w:szCs w:val="20"/>
        </w:rPr>
        <w:t xml:space="preserve"> </w:t>
      </w:r>
      <w:proofErr w:type="spellStart"/>
      <w:r w:rsidRPr="008B02D8">
        <w:rPr>
          <w:sz w:val="20"/>
          <w:szCs w:val="20"/>
        </w:rPr>
        <w:t>умумий</w:t>
      </w:r>
      <w:proofErr w:type="spellEnd"/>
      <w:r w:rsidRPr="008B02D8">
        <w:rPr>
          <w:sz w:val="20"/>
          <w:szCs w:val="20"/>
        </w:rPr>
        <w:t xml:space="preserve"> </w:t>
      </w:r>
      <w:proofErr w:type="spellStart"/>
      <w:r w:rsidRPr="008B02D8">
        <w:rPr>
          <w:sz w:val="20"/>
          <w:szCs w:val="20"/>
        </w:rPr>
        <w:t>бахоси</w:t>
      </w:r>
      <w:proofErr w:type="spellEnd"/>
      <w:r w:rsidR="005E4E28" w:rsidRPr="008B02D8">
        <w:rPr>
          <w:sz w:val="20"/>
          <w:szCs w:val="20"/>
          <w:lang w:val="uz-Cyrl-UZ"/>
        </w:rPr>
        <w:t>:</w:t>
      </w:r>
      <w:r w:rsidR="005E4E28" w:rsidRPr="00BA19D7">
        <w:rPr>
          <w:b/>
          <w:sz w:val="20"/>
          <w:szCs w:val="20"/>
          <w:lang w:val="uz-Cyrl-UZ"/>
        </w:rPr>
        <w:t xml:space="preserve">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уни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8B02D8" w:rsidRDefault="00D272CF" w:rsidP="00D272CF">
            <w:pPr>
              <w:ind w:right="-482"/>
              <w:jc w:val="center"/>
              <w:rPr>
                <w:bCs/>
                <w:sz w:val="20"/>
                <w:szCs w:val="20"/>
                <w:lang w:val="uz-Cyrl-UZ"/>
              </w:rPr>
            </w:pPr>
            <w:r w:rsidRPr="008B02D8">
              <w:rPr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8B02D8">
              <w:rPr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 w:rsidRPr="008B02D8">
              <w:rPr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 w:rsidRPr="008B02D8">
              <w:rPr>
                <w:bCs/>
                <w:sz w:val="20"/>
                <w:szCs w:val="20"/>
                <w:lang w:val="uz-Cyrl-UZ"/>
              </w:rPr>
              <w:t>Фарғона</w:t>
            </w:r>
            <w:r w:rsidRPr="008B02D8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3146F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02D8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09F9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C43F6"/>
    <w:rsid w:val="00DE342B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737A-DD5D-4B99-B297-4A8B302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</cp:lastModifiedBy>
  <cp:revision>2</cp:revision>
  <cp:lastPrinted>2021-08-19T06:19:00Z</cp:lastPrinted>
  <dcterms:created xsi:type="dcterms:W3CDTF">2022-03-16T13:52:00Z</dcterms:created>
  <dcterms:modified xsi:type="dcterms:W3CDTF">2022-03-16T13:52:00Z</dcterms:modified>
</cp:coreProperties>
</file>