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5C06ADB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158769BC" w14:textId="14C74941" w:rsidR="007776F4" w:rsidRPr="00C46797" w:rsidRDefault="00AC2855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AC2855">
        <w:t xml:space="preserve">Самарканд АБЗ да </w:t>
      </w:r>
      <w:proofErr w:type="spellStart"/>
      <w:r w:rsidRPr="00AC2855">
        <w:t>асфальтбетон</w:t>
      </w:r>
      <w:proofErr w:type="spellEnd"/>
      <w:r w:rsidRPr="00AC2855">
        <w:t xml:space="preserve"> </w:t>
      </w:r>
      <w:proofErr w:type="spellStart"/>
      <w:r w:rsidRPr="00AC2855">
        <w:t>коришмаси</w:t>
      </w:r>
      <w:proofErr w:type="spellEnd"/>
      <w:r w:rsidRPr="00AC2855">
        <w:t xml:space="preserve"> </w:t>
      </w:r>
      <w:proofErr w:type="spellStart"/>
      <w:r w:rsidRPr="00AC2855">
        <w:t>ишлаб</w:t>
      </w:r>
      <w:proofErr w:type="spellEnd"/>
      <w:r w:rsidRPr="00AC2855">
        <w:t xml:space="preserve"> </w:t>
      </w:r>
      <w:proofErr w:type="spellStart"/>
      <w:r w:rsidRPr="00AC2855">
        <w:t>чикариш</w:t>
      </w:r>
      <w:proofErr w:type="spellEnd"/>
      <w:r w:rsidRPr="00AC2855">
        <w:t xml:space="preserve"> </w:t>
      </w:r>
      <w:proofErr w:type="spellStart"/>
      <w:r w:rsidRPr="00AC2855">
        <w:t>учун</w:t>
      </w:r>
      <w:proofErr w:type="spellEnd"/>
      <w:r w:rsidRPr="00AC2855">
        <w:t xml:space="preserve"> </w:t>
      </w:r>
      <w:proofErr w:type="spellStart"/>
      <w:r w:rsidRPr="00AC2855">
        <w:t>танланган</w:t>
      </w:r>
      <w:proofErr w:type="spellEnd"/>
      <w:r w:rsidRPr="00AC2855">
        <w:t xml:space="preserve"> </w:t>
      </w:r>
      <w:proofErr w:type="spellStart"/>
      <w:r w:rsidRPr="00AC2855">
        <w:t>таркиб</w:t>
      </w:r>
      <w:proofErr w:type="spellEnd"/>
      <w:r w:rsidRPr="00AC2855">
        <w:t xml:space="preserve"> (подбора состава) </w:t>
      </w:r>
      <w:proofErr w:type="spellStart"/>
      <w:r w:rsidRPr="00AC2855">
        <w:t>тайёрлаш</w:t>
      </w:r>
      <w:proofErr w:type="spellEnd"/>
      <w:r w:rsidRPr="00AC2855">
        <w:t xml:space="preserve"> </w:t>
      </w:r>
      <w:proofErr w:type="spellStart"/>
      <w:r w:rsidRPr="00AC2855">
        <w:t>ва</w:t>
      </w:r>
      <w:proofErr w:type="spellEnd"/>
      <w:r w:rsidRPr="00AC2855">
        <w:t xml:space="preserve"> </w:t>
      </w:r>
      <w:proofErr w:type="spellStart"/>
      <w:r w:rsidRPr="00AC2855">
        <w:t>асфальтбетон</w:t>
      </w:r>
      <w:proofErr w:type="spellEnd"/>
      <w:r w:rsidRPr="00AC2855">
        <w:t xml:space="preserve"> </w:t>
      </w:r>
      <w:proofErr w:type="spellStart"/>
      <w:r w:rsidRPr="00AC2855">
        <w:t>коришмаси</w:t>
      </w:r>
      <w:proofErr w:type="spellEnd"/>
      <w:r w:rsidRPr="00AC2855">
        <w:t xml:space="preserve"> </w:t>
      </w:r>
      <w:proofErr w:type="spellStart"/>
      <w:r w:rsidRPr="00AC2855">
        <w:t>сифати</w:t>
      </w:r>
      <w:proofErr w:type="spellEnd"/>
      <w:r w:rsidRPr="00AC2855">
        <w:t xml:space="preserve"> стандарт </w:t>
      </w:r>
      <w:proofErr w:type="spellStart"/>
      <w:r w:rsidRPr="00AC2855">
        <w:t>талабларига</w:t>
      </w:r>
      <w:proofErr w:type="spellEnd"/>
      <w:r w:rsidRPr="00AC2855">
        <w:t xml:space="preserve"> </w:t>
      </w:r>
      <w:proofErr w:type="spellStart"/>
      <w:r w:rsidRPr="00AC2855">
        <w:t>мувофиклигини</w:t>
      </w:r>
      <w:proofErr w:type="spellEnd"/>
      <w:r w:rsidRPr="00AC2855">
        <w:t xml:space="preserve"> </w:t>
      </w:r>
      <w:proofErr w:type="spellStart"/>
      <w:r w:rsidRPr="00AC2855">
        <w:t>текшириш</w:t>
      </w:r>
      <w:proofErr w:type="spellEnd"/>
      <w:r w:rsidRPr="00AC2855">
        <w:t xml:space="preserve"> </w:t>
      </w:r>
      <w:proofErr w:type="spellStart"/>
      <w:r w:rsidRPr="00AC2855">
        <w:t>ва</w:t>
      </w:r>
      <w:proofErr w:type="spellEnd"/>
      <w:r w:rsidRPr="00AC2855">
        <w:t xml:space="preserve"> инерт </w:t>
      </w:r>
      <w:proofErr w:type="spellStart"/>
      <w:r w:rsidRPr="00AC2855">
        <w:t>материаллар</w:t>
      </w:r>
      <w:proofErr w:type="spellEnd"/>
      <w:r w:rsidRPr="00AC2855">
        <w:t xml:space="preserve"> </w:t>
      </w:r>
      <w:proofErr w:type="spellStart"/>
      <w:r w:rsidRPr="00AC2855">
        <w:t>ва</w:t>
      </w:r>
      <w:proofErr w:type="spellEnd"/>
      <w:r w:rsidRPr="00AC2855">
        <w:t xml:space="preserve"> </w:t>
      </w:r>
      <w:proofErr w:type="spellStart"/>
      <w:r w:rsidRPr="00AC2855">
        <w:t>богловчи</w:t>
      </w:r>
      <w:proofErr w:type="spellEnd"/>
      <w:r w:rsidRPr="00AC2855">
        <w:t xml:space="preserve"> </w:t>
      </w:r>
      <w:proofErr w:type="spellStart"/>
      <w:r w:rsidRPr="00AC2855">
        <w:t>моддаларни</w:t>
      </w:r>
      <w:proofErr w:type="spellEnd"/>
      <w:r w:rsidRPr="00AC2855">
        <w:t xml:space="preserve"> лаборатория </w:t>
      </w:r>
      <w:proofErr w:type="spellStart"/>
      <w:r w:rsidRPr="00AC2855">
        <w:t>синовларидан</w:t>
      </w:r>
      <w:proofErr w:type="spellEnd"/>
      <w:r w:rsidRPr="00AC2855">
        <w:t xml:space="preserve"> </w:t>
      </w:r>
      <w:proofErr w:type="spellStart"/>
      <w:r w:rsidRPr="00AC2855">
        <w:t>утказиш</w:t>
      </w:r>
      <w:proofErr w:type="spellEnd"/>
      <w:r w:rsidRPr="00AC2855">
        <w:t xml:space="preserve"> </w:t>
      </w:r>
      <w:proofErr w:type="spellStart"/>
      <w:r w:rsidRPr="00AC2855">
        <w:t>хизмати</w:t>
      </w:r>
      <w:proofErr w:type="spellEnd"/>
      <w:r w:rsidRPr="00AC2855">
        <w:t>.</w:t>
      </w: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122C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lastRenderedPageBreak/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73A958A3" w14:textId="08CC8EFB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C2855" w:rsidRPr="00AC2855">
              <w:t xml:space="preserve">Самарканд АБЗ да </w:t>
            </w:r>
            <w:proofErr w:type="spellStart"/>
            <w:r w:rsidR="00AC2855" w:rsidRPr="00AC2855">
              <w:t>асфальтбетон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коришмаси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ишлаб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чикариш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учун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танланган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таркиб</w:t>
            </w:r>
            <w:proofErr w:type="spellEnd"/>
            <w:r w:rsidR="00AC2855" w:rsidRPr="00AC2855">
              <w:t xml:space="preserve"> (подбора состава) </w:t>
            </w:r>
            <w:proofErr w:type="spellStart"/>
            <w:r w:rsidR="00AC2855" w:rsidRPr="00AC2855">
              <w:t>тайёрлаш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ва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асфальтбетон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коришмаси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сифати</w:t>
            </w:r>
            <w:proofErr w:type="spellEnd"/>
            <w:r w:rsidR="00AC2855" w:rsidRPr="00AC2855">
              <w:t xml:space="preserve"> стандарт </w:t>
            </w:r>
            <w:proofErr w:type="spellStart"/>
            <w:r w:rsidR="00AC2855" w:rsidRPr="00AC2855">
              <w:t>талабларига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мувофиклигини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текшириш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ва</w:t>
            </w:r>
            <w:proofErr w:type="spellEnd"/>
            <w:r w:rsidR="00AC2855" w:rsidRPr="00AC2855">
              <w:t xml:space="preserve"> инерт </w:t>
            </w:r>
            <w:proofErr w:type="spellStart"/>
            <w:r w:rsidR="00AC2855" w:rsidRPr="00AC2855">
              <w:t>материаллар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ва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богловчи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моддаларни</w:t>
            </w:r>
            <w:proofErr w:type="spellEnd"/>
            <w:r w:rsidR="00AC2855" w:rsidRPr="00AC2855">
              <w:t xml:space="preserve"> лаборатория </w:t>
            </w:r>
            <w:proofErr w:type="spellStart"/>
            <w:r w:rsidR="00AC2855" w:rsidRPr="00AC2855">
              <w:t>синовларидан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утказиш</w:t>
            </w:r>
            <w:proofErr w:type="spellEnd"/>
            <w:r w:rsidR="00AC2855" w:rsidRPr="00AC2855">
              <w:t xml:space="preserve"> </w:t>
            </w:r>
            <w:proofErr w:type="spellStart"/>
            <w:r w:rsidR="00AC2855" w:rsidRPr="00AC2855">
              <w:t>хизмати</w:t>
            </w:r>
            <w:proofErr w:type="spellEnd"/>
            <w:r w:rsidR="00AC2855" w:rsidRPr="00AC2855">
              <w:t>.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5F26B4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51DC65F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7E6144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2DB0916F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FEF2" w14:textId="77777777" w:rsidR="00A52620" w:rsidRDefault="00A52620">
      <w:pPr>
        <w:spacing w:after="0" w:line="240" w:lineRule="auto"/>
      </w:pPr>
      <w:r>
        <w:separator/>
      </w:r>
    </w:p>
  </w:endnote>
  <w:endnote w:type="continuationSeparator" w:id="0">
    <w:p w14:paraId="792341C5" w14:textId="77777777" w:rsidR="00A52620" w:rsidRDefault="00A5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A5262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A5262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A5262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B0D2" w14:textId="77777777" w:rsidR="00A52620" w:rsidRDefault="00A52620">
      <w:pPr>
        <w:spacing w:after="0" w:line="240" w:lineRule="auto"/>
      </w:pPr>
      <w:r>
        <w:separator/>
      </w:r>
    </w:p>
  </w:footnote>
  <w:footnote w:type="continuationSeparator" w:id="0">
    <w:p w14:paraId="7B25730D" w14:textId="77777777" w:rsidR="00A52620" w:rsidRDefault="00A5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A526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A526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A526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77A40"/>
    <w:rsid w:val="000B0052"/>
    <w:rsid w:val="000B4817"/>
    <w:rsid w:val="000E7607"/>
    <w:rsid w:val="000F5D21"/>
    <w:rsid w:val="00122C62"/>
    <w:rsid w:val="001268D4"/>
    <w:rsid w:val="0013284B"/>
    <w:rsid w:val="00155317"/>
    <w:rsid w:val="001628C2"/>
    <w:rsid w:val="00170479"/>
    <w:rsid w:val="001A7F89"/>
    <w:rsid w:val="001E024A"/>
    <w:rsid w:val="001F45FB"/>
    <w:rsid w:val="00202FBC"/>
    <w:rsid w:val="00273946"/>
    <w:rsid w:val="002A7122"/>
    <w:rsid w:val="002C5657"/>
    <w:rsid w:val="002C59E3"/>
    <w:rsid w:val="002C718B"/>
    <w:rsid w:val="002D5040"/>
    <w:rsid w:val="00302543"/>
    <w:rsid w:val="003046DF"/>
    <w:rsid w:val="003562E6"/>
    <w:rsid w:val="003601BD"/>
    <w:rsid w:val="003B68E1"/>
    <w:rsid w:val="003C588F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B2DA1"/>
    <w:rsid w:val="005C0303"/>
    <w:rsid w:val="005C72D2"/>
    <w:rsid w:val="005E14D2"/>
    <w:rsid w:val="005E298B"/>
    <w:rsid w:val="00605A67"/>
    <w:rsid w:val="00620EB3"/>
    <w:rsid w:val="00692FAE"/>
    <w:rsid w:val="00694BA5"/>
    <w:rsid w:val="006F3CE2"/>
    <w:rsid w:val="006F7051"/>
    <w:rsid w:val="00726B10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7E6144"/>
    <w:rsid w:val="00843300"/>
    <w:rsid w:val="00846040"/>
    <w:rsid w:val="008A3E5B"/>
    <w:rsid w:val="008B7C0E"/>
    <w:rsid w:val="008C3AAE"/>
    <w:rsid w:val="008D4463"/>
    <w:rsid w:val="008F02EE"/>
    <w:rsid w:val="0090687B"/>
    <w:rsid w:val="00907238"/>
    <w:rsid w:val="009110CE"/>
    <w:rsid w:val="00925652"/>
    <w:rsid w:val="00933961"/>
    <w:rsid w:val="009458C8"/>
    <w:rsid w:val="009551B1"/>
    <w:rsid w:val="009A2AD7"/>
    <w:rsid w:val="009C3DB6"/>
    <w:rsid w:val="009E2D46"/>
    <w:rsid w:val="009F1B95"/>
    <w:rsid w:val="009F4F39"/>
    <w:rsid w:val="00A07ABB"/>
    <w:rsid w:val="00A12F24"/>
    <w:rsid w:val="00A52620"/>
    <w:rsid w:val="00A7323D"/>
    <w:rsid w:val="00AA4833"/>
    <w:rsid w:val="00AB028E"/>
    <w:rsid w:val="00AB02C2"/>
    <w:rsid w:val="00AC2855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17F25"/>
    <w:rsid w:val="00D5123E"/>
    <w:rsid w:val="00D80439"/>
    <w:rsid w:val="00D91EF7"/>
    <w:rsid w:val="00D9453E"/>
    <w:rsid w:val="00DA0919"/>
    <w:rsid w:val="00E1404B"/>
    <w:rsid w:val="00E7798F"/>
    <w:rsid w:val="00EC24C0"/>
    <w:rsid w:val="00EC66FE"/>
    <w:rsid w:val="00EF49D1"/>
    <w:rsid w:val="00EF67E0"/>
    <w:rsid w:val="00F01DAA"/>
    <w:rsid w:val="00F2224D"/>
    <w:rsid w:val="00F34571"/>
    <w:rsid w:val="00F42A13"/>
    <w:rsid w:val="00F67A1E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25</cp:revision>
  <dcterms:created xsi:type="dcterms:W3CDTF">2021-04-22T05:26:00Z</dcterms:created>
  <dcterms:modified xsi:type="dcterms:W3CDTF">2022-03-31T15:12:00Z</dcterms:modified>
</cp:coreProperties>
</file>