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69064D">
        <w:rPr>
          <w:b/>
          <w:sz w:val="22"/>
          <w:szCs w:val="22"/>
          <w:lang w:val="uz-Cyrl-UZ"/>
        </w:rPr>
        <w:t>1</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Pr="00555C54">
        <w:rPr>
          <w:b/>
          <w:sz w:val="22"/>
          <w:szCs w:val="22"/>
          <w:lang w:val="uz-Cyrl-UZ"/>
        </w:rPr>
        <w:t xml:space="preserve"> </w:t>
      </w:r>
      <w:r w:rsidR="00377613" w:rsidRPr="00377613">
        <w:rPr>
          <w:sz w:val="22"/>
          <w:szCs w:val="22"/>
          <w:lang w:val="uz-Cyrl-UZ"/>
        </w:rPr>
        <w:t>Ўзбекистон Республикаси Президентининг 2022 йил 22 январдаги “2022-2024 йилларда Ўзбекистон Республикасининг ижтимоий ва ишлаб чиқариш инфратузилмасини ривожлантириш чора-тадбирлари тўғрисида”ги ПҚ-98-сонли қарори</w:t>
      </w:r>
      <w:r w:rsidR="00AF6CD4" w:rsidRPr="00AF6CD4">
        <w:rPr>
          <w:sz w:val="22"/>
          <w:szCs w:val="22"/>
          <w:lang w:val="uz-Cyrl-UZ"/>
        </w:rPr>
        <w:t xml:space="preserve">, </w:t>
      </w:r>
      <w:r w:rsidR="00E721A5" w:rsidRPr="00E721A5">
        <w:rPr>
          <w:color w:val="FF0000"/>
          <w:sz w:val="22"/>
          <w:szCs w:val="22"/>
          <w:lang w:val="uz-Cyrl-UZ"/>
        </w:rPr>
        <w:t>...</w:t>
      </w:r>
      <w:r w:rsidR="00E721A5" w:rsidRPr="00E721A5">
        <w:rPr>
          <w:color w:val="FF0000"/>
          <w:sz w:val="22"/>
          <w:szCs w:val="22"/>
          <w:lang w:val="uz-Cyrl-UZ"/>
        </w:rPr>
        <w:t>...</w:t>
      </w:r>
      <w:r w:rsidR="00E721A5">
        <w:rPr>
          <w:sz w:val="22"/>
          <w:szCs w:val="22"/>
          <w:lang w:val="uz-Cyrl-UZ"/>
        </w:rPr>
        <w:t xml:space="preserve"> </w:t>
      </w:r>
      <w:r w:rsidR="00AF6CD4" w:rsidRPr="00AF6CD4">
        <w:rPr>
          <w:sz w:val="22"/>
          <w:szCs w:val="22"/>
          <w:lang w:val="uz-Cyrl-UZ"/>
        </w:rPr>
        <w:t>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1A5" w:rsidRPr="00E721A5">
        <w:rPr>
          <w:color w:val="FF0000"/>
          <w:sz w:val="22"/>
          <w:szCs w:val="22"/>
          <w:lang w:val="uz-Cyrl-UZ"/>
        </w:rPr>
        <w:t>.................</w:t>
      </w:r>
      <w:r w:rsidR="00E721A5" w:rsidRPr="00E721A5">
        <w:rPr>
          <w:color w:val="FF0000"/>
          <w:sz w:val="22"/>
          <w:szCs w:val="22"/>
          <w:lang w:val="uz-Cyrl-UZ"/>
        </w:rPr>
        <w:t>.........</w:t>
      </w:r>
      <w:r w:rsidR="00E721A5" w:rsidRPr="00E721A5">
        <w:rPr>
          <w:color w:val="FF0000"/>
          <w:sz w:val="22"/>
          <w:szCs w:val="22"/>
          <w:lang w:val="uz-Cyrl-UZ"/>
        </w:rPr>
        <w:t>....</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sidRPr="00E721A5">
        <w:rPr>
          <w:color w:val="FF0000"/>
          <w:sz w:val="22"/>
          <w:szCs w:val="22"/>
          <w:lang w:val="uz-Cyrl-UZ"/>
        </w:rPr>
        <w:t>30</w:t>
      </w:r>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Лойи</w:t>
      </w:r>
      <w:r w:rsidR="00D83D5B">
        <w:rPr>
          <w:color w:val="FF0000"/>
          <w:sz w:val="22"/>
          <w:szCs w:val="22"/>
          <w:lang w:val="uz-Cyrl-UZ"/>
        </w:rPr>
        <w:t>ҳ</w:t>
      </w:r>
      <w:r w:rsidRPr="009B6DC7">
        <w:rPr>
          <w:color w:val="FF0000"/>
          <w:sz w:val="22"/>
          <w:szCs w:val="22"/>
          <w:lang w:val="uz-Cyrl-UZ"/>
        </w:rPr>
        <w:t xml:space="preserve">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w:t>
      </w:r>
      <w:r w:rsidR="00D83D5B">
        <w:rPr>
          <w:color w:val="0000FF"/>
          <w:sz w:val="22"/>
          <w:szCs w:val="22"/>
          <w:lang w:val="uz-Cyrl-UZ"/>
        </w:rPr>
        <w:t>ҳ</w:t>
      </w:r>
      <w:r w:rsidRPr="009B6DC7">
        <w:rPr>
          <w:color w:val="0000FF"/>
          <w:sz w:val="22"/>
          <w:szCs w:val="22"/>
          <w:lang w:val="uz-Cyrl-UZ"/>
        </w:rPr>
        <w:t xml:space="preserve">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w:t>
      </w:r>
      <w:r w:rsidR="00D83D5B">
        <w:rPr>
          <w:color w:val="0000FF"/>
          <w:sz w:val="22"/>
          <w:szCs w:val="22"/>
          <w:lang w:val="uz-Cyrl-UZ"/>
        </w:rPr>
        <w:t>ҳ</w:t>
      </w:r>
      <w:r w:rsidRPr="009B6DC7">
        <w:rPr>
          <w:color w:val="0000FF"/>
          <w:sz w:val="22"/>
          <w:szCs w:val="22"/>
          <w:lang w:val="uz-Cyrl-UZ"/>
        </w:rPr>
        <w:t xml:space="preserve">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w:t>
      </w:r>
      <w:r w:rsidR="002F12E9">
        <w:rPr>
          <w:color w:val="0000FF"/>
          <w:sz w:val="22"/>
          <w:szCs w:val="22"/>
          <w:lang w:val="uz-Cyrl-UZ"/>
        </w:rPr>
        <w:t xml:space="preserve"> харажатларини қоплаб уни экспертиза</w:t>
      </w:r>
      <w:r w:rsidRPr="009B6DC7">
        <w:rPr>
          <w:color w:val="0000FF"/>
          <w:sz w:val="22"/>
          <w:szCs w:val="22"/>
          <w:lang w:val="uz-Cyrl-UZ"/>
        </w:rPr>
        <w:t>дан ўтказишни ўз зиммасига олади.</w:t>
      </w:r>
    </w:p>
    <w:p w:rsidR="00F6400B" w:rsidRPr="00E721A5" w:rsidRDefault="00F6400B" w:rsidP="00267B0C">
      <w:pPr>
        <w:ind w:firstLine="708"/>
        <w:jc w:val="both"/>
        <w:rPr>
          <w:color w:val="0000FF"/>
          <w:sz w:val="22"/>
          <w:szCs w:val="22"/>
          <w:lang w:val="uz-Cyrl-UZ"/>
        </w:rPr>
      </w:pPr>
      <w:r w:rsidRPr="00EA73B0">
        <w:rPr>
          <w:color w:val="0000FF"/>
          <w:sz w:val="22"/>
          <w:szCs w:val="22"/>
          <w:lang w:val="uz-Cyrl-UZ"/>
        </w:rPr>
        <w:t xml:space="preserve">3.3. </w:t>
      </w:r>
      <w:r w:rsidRPr="00EA73B0">
        <w:rPr>
          <w:color w:val="FF0000"/>
          <w:sz w:val="22"/>
          <w:szCs w:val="22"/>
          <w:lang w:val="uz-Cyrl-UZ"/>
        </w:rPr>
        <w:t>Пудратчи</w:t>
      </w:r>
      <w:r w:rsidRPr="00EA73B0">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EA73B0">
        <w:rPr>
          <w:color w:val="FF0000"/>
          <w:sz w:val="22"/>
          <w:szCs w:val="22"/>
          <w:lang w:val="uz-Cyrl-UZ"/>
        </w:rPr>
        <w:t>Пудратчи</w:t>
      </w:r>
      <w:r w:rsidRPr="00EA73B0">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w:t>
            </w:r>
            <w:r w:rsidR="00EA73B0">
              <w:rPr>
                <w:sz w:val="22"/>
                <w:szCs w:val="22"/>
                <w:lang w:val="uz-Cyrl-UZ"/>
              </w:rPr>
              <w:t>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Pr>
                <w:b/>
                <w:sz w:val="22"/>
                <w:szCs w:val="22"/>
                <w:lang w:val="uz-Cyrl-UZ"/>
              </w:rPr>
              <w:t>Юсупо</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BF054C">
        <w:rPr>
          <w:b w:val="0"/>
          <w:sz w:val="22"/>
          <w:szCs w:val="22"/>
          <w:lang w:val="uz-Cyrl-UZ"/>
        </w:rPr>
        <w:t>1</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D83D5B">
        <w:rPr>
          <w:b/>
          <w:color w:val="FF0000"/>
          <w:sz w:val="22"/>
          <w:szCs w:val="22"/>
          <w:lang w:val="uz-Cyrl-UZ"/>
        </w:rPr>
        <w:t>...........................................................................................</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EA73B0" w:rsidRPr="009B6DC7" w:rsidRDefault="00EA73B0" w:rsidP="00EA73B0">
            <w:pPr>
              <w:pStyle w:val="a3"/>
              <w:jc w:val="center"/>
              <w:rPr>
                <w:sz w:val="22"/>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3045 1086 0262 6970 45 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Pr>
                <w:b/>
                <w:sz w:val="22"/>
                <w:szCs w:val="22"/>
                <w:lang w:val="uz-Cyrl-UZ"/>
              </w:rPr>
              <w:t>Юсупо</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bookmarkStart w:id="0" w:name="_GoBack"/>
            <w:bookmarkEnd w:id="0"/>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E74A5B"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r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DAB" w:rsidRDefault="00010DAB">
      <w:r>
        <w:separator/>
      </w:r>
    </w:p>
  </w:endnote>
  <w:endnote w:type="continuationSeparator" w:id="0">
    <w:p w:rsidR="00010DAB" w:rsidRDefault="000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010DAB">
    <w:pPr>
      <w:pStyle w:val="a8"/>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E9F" w:rsidRDefault="00010DAB">
    <w:pPr>
      <w:pStyle w:val="a8"/>
      <w:widowControl/>
      <w:jc w:val="center"/>
      <w:rPr>
        <w:rFonts w:ascii="Arial" w:hAnsi="Arial"/>
        <w:sz w:val="20"/>
      </w:rPr>
    </w:pPr>
  </w:p>
  <w:p w:rsidR="00093E9F" w:rsidRDefault="00010DAB">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DAB" w:rsidRDefault="00010DAB">
      <w:r>
        <w:separator/>
      </w:r>
    </w:p>
  </w:footnote>
  <w:footnote w:type="continuationSeparator" w:id="0">
    <w:p w:rsidR="00010DAB" w:rsidRDefault="0001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353" w:rsidRDefault="00010D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12C96"/>
    <w:rsid w:val="00267B0C"/>
    <w:rsid w:val="002B03FA"/>
    <w:rsid w:val="002B0478"/>
    <w:rsid w:val="002D0D17"/>
    <w:rsid w:val="002F12E9"/>
    <w:rsid w:val="003207CF"/>
    <w:rsid w:val="003335FA"/>
    <w:rsid w:val="00377613"/>
    <w:rsid w:val="00387510"/>
    <w:rsid w:val="003C5118"/>
    <w:rsid w:val="003D3FE4"/>
    <w:rsid w:val="00401C97"/>
    <w:rsid w:val="00415014"/>
    <w:rsid w:val="00435205"/>
    <w:rsid w:val="00461127"/>
    <w:rsid w:val="004674E8"/>
    <w:rsid w:val="004C4535"/>
    <w:rsid w:val="004D3512"/>
    <w:rsid w:val="004D36D3"/>
    <w:rsid w:val="004E58C7"/>
    <w:rsid w:val="004F4758"/>
    <w:rsid w:val="00504F7A"/>
    <w:rsid w:val="00515F12"/>
    <w:rsid w:val="005178FE"/>
    <w:rsid w:val="0052515B"/>
    <w:rsid w:val="0057201C"/>
    <w:rsid w:val="00574FBE"/>
    <w:rsid w:val="00594263"/>
    <w:rsid w:val="005A0844"/>
    <w:rsid w:val="005C7171"/>
    <w:rsid w:val="005D33B4"/>
    <w:rsid w:val="005F52FE"/>
    <w:rsid w:val="006132C5"/>
    <w:rsid w:val="00644356"/>
    <w:rsid w:val="0069064D"/>
    <w:rsid w:val="006B0638"/>
    <w:rsid w:val="006C61FD"/>
    <w:rsid w:val="006F2AE2"/>
    <w:rsid w:val="0073122B"/>
    <w:rsid w:val="007317A0"/>
    <w:rsid w:val="00734B16"/>
    <w:rsid w:val="007459A5"/>
    <w:rsid w:val="00792709"/>
    <w:rsid w:val="007A48DC"/>
    <w:rsid w:val="007A6797"/>
    <w:rsid w:val="007A7A19"/>
    <w:rsid w:val="007C64AA"/>
    <w:rsid w:val="007D05FD"/>
    <w:rsid w:val="007D6BD9"/>
    <w:rsid w:val="00800BA6"/>
    <w:rsid w:val="00825DDB"/>
    <w:rsid w:val="00842C32"/>
    <w:rsid w:val="00854F5C"/>
    <w:rsid w:val="00867E74"/>
    <w:rsid w:val="008A42BC"/>
    <w:rsid w:val="008B18C6"/>
    <w:rsid w:val="008B338E"/>
    <w:rsid w:val="008B4380"/>
    <w:rsid w:val="00904432"/>
    <w:rsid w:val="00916CBA"/>
    <w:rsid w:val="0092723B"/>
    <w:rsid w:val="009634CD"/>
    <w:rsid w:val="00965404"/>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4A5B"/>
    <w:rsid w:val="00E760E3"/>
    <w:rsid w:val="00EA73B0"/>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E221"/>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2B09-8ADB-4F90-A62D-26D79978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11</cp:revision>
  <cp:lastPrinted>2021-10-19T06:04:00Z</cp:lastPrinted>
  <dcterms:created xsi:type="dcterms:W3CDTF">2022-02-21T05:00:00Z</dcterms:created>
  <dcterms:modified xsi:type="dcterms:W3CDTF">2022-02-21T14:10:00Z</dcterms:modified>
</cp:coreProperties>
</file>