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:rsidRPr="003A1690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0DFCF85" w14:textId="77777777" w:rsidR="003562E6" w:rsidRDefault="003562E6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отбору наилучшего предложения </w:t>
            </w:r>
          </w:p>
          <w:p w14:paraId="307CDA84" w14:textId="363C4918" w:rsidR="007776F4" w:rsidRPr="003A1690" w:rsidRDefault="003A1690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"BORDONKO`L YO`LLARDAN FOYDALANISH UCHASTKASI"</w:t>
            </w:r>
          </w:p>
          <w:p w14:paraId="40D7D0A5" w14:textId="77777777" w:rsidR="007776F4" w:rsidRPr="003A1690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</w:p>
          <w:p w14:paraId="326C29DA" w14:textId="55C06ADB" w:rsidR="007776F4" w:rsidRPr="003A1690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 ___________ </w:t>
            </w:r>
            <w:r w:rsidR="00734A4B" w:rsidRPr="003A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D5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41A6CE0D" w14:textId="77777777" w:rsidR="007776F4" w:rsidRPr="003A1690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373B8F15" w14:textId="77777777" w:rsidR="007776F4" w:rsidRPr="003A1690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02ECE19D" w14:textId="77777777" w:rsidR="007776F4" w:rsidRPr="003A1690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497F45D" w14:textId="77777777" w:rsidR="007776F4" w:rsidRPr="003A1690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48673B2" w14:textId="77777777" w:rsidR="007776F4" w:rsidRPr="003A1690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15115154" w14:textId="33CAE6FD" w:rsidR="007776F4" w:rsidRPr="003562E6" w:rsidRDefault="007776F4" w:rsidP="003562E6">
      <w:pPr>
        <w:pStyle w:val="1"/>
        <w:spacing w:line="240" w:lineRule="auto"/>
        <w:ind w:firstLine="0"/>
        <w:rPr>
          <w:sz w:val="24"/>
          <w:szCs w:val="24"/>
        </w:rPr>
      </w:pPr>
      <w:r w:rsidRPr="003A1690">
        <w:rPr>
          <w:sz w:val="24"/>
          <w:szCs w:val="24"/>
          <w:lang w:val="en-US"/>
        </w:rPr>
        <w:t xml:space="preserve"> </w:t>
      </w:r>
      <w:r w:rsidRPr="00C47042">
        <w:rPr>
          <w:sz w:val="24"/>
          <w:szCs w:val="24"/>
        </w:rPr>
        <w:t>ДОКУМЕНТАЦИЯ</w:t>
      </w:r>
      <w:r w:rsidR="003562E6" w:rsidRPr="003562E6">
        <w:rPr>
          <w:sz w:val="24"/>
          <w:szCs w:val="24"/>
        </w:rPr>
        <w:t xml:space="preserve"> </w:t>
      </w:r>
      <w:r w:rsidR="003562E6">
        <w:rPr>
          <w:sz w:val="24"/>
          <w:szCs w:val="24"/>
        </w:rPr>
        <w:t>ПО ОТБОРУ НАИЛУЧШЕГО ПРЕДЛОЖЕНИЯ</w:t>
      </w:r>
    </w:p>
    <w:p w14:paraId="5469B8F0" w14:textId="77777777" w:rsidR="007776F4" w:rsidRDefault="007776F4" w:rsidP="007776F4"/>
    <w:p w14:paraId="06EFFF75" w14:textId="690EA3B0" w:rsidR="007776F4" w:rsidRDefault="005A3462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5A3462">
        <w:t>Аудиторская проверка финансово-отчетности организации</w:t>
      </w:r>
    </w:p>
    <w:p w14:paraId="4027DAC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011C1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99FC512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1582327" w14:textId="77777777"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939F3" w14:textId="77777777" w:rsidR="004B4964" w:rsidRPr="00CC203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1149D" w14:textId="26E459A8" w:rsidR="007776F4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15048D7" w14:textId="20072C89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E4441BC" w14:textId="2B9AAB74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7B05908" w14:textId="73546437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79589CB" w14:textId="0ED3F54F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47692E4" w14:textId="77777777" w:rsidR="003F266F" w:rsidRPr="00C46797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4C0B642" w14:textId="3B4AA9A4" w:rsidR="007776F4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ТАШКЕНТ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D5843" w:rsidRPr="00122C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EBACD3" w14:textId="0E51CEF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7D383C" w14:textId="25E34E9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A7C7A" w14:textId="70961FB2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AE587" w14:textId="36543B3E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719323" w14:textId="182688D9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CAC39" w14:textId="1347D3D0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958284" w14:textId="13BCE563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8BBDD" w14:textId="5A0BF044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0D3886" w14:textId="77777777" w:rsidR="003F266F" w:rsidRPr="00C46797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467195" w14:textId="77777777" w:rsidR="003562E6" w:rsidRPr="003562E6" w:rsidRDefault="007776F4" w:rsidP="003562E6">
      <w:pPr>
        <w:pStyle w:val="1"/>
        <w:spacing w:line="240" w:lineRule="auto"/>
        <w:ind w:firstLine="0"/>
        <w:rPr>
          <w:sz w:val="24"/>
          <w:szCs w:val="24"/>
        </w:rPr>
      </w:pPr>
      <w:r w:rsidRPr="00C47042">
        <w:rPr>
          <w:sz w:val="24"/>
          <w:szCs w:val="24"/>
        </w:rPr>
        <w:t xml:space="preserve">ИНСТРУКЦИЯ ДЛЯ УЧАСТНИКА </w:t>
      </w:r>
      <w:r w:rsidR="003562E6">
        <w:rPr>
          <w:sz w:val="24"/>
          <w:szCs w:val="24"/>
        </w:rPr>
        <w:t>ПО ОТБОРУ НАИЛУЧШЕГО ПРЕДЛОЖЕНИЯ</w:t>
      </w:r>
    </w:p>
    <w:p w14:paraId="301CD91F" w14:textId="5080374C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23740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4AB4AF4A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наилучшего предложенная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 от 20.02.2018 года ПП-3550 «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СОВЕРШЕНСТВОВАНИЮ ПОРЯДКА ПРОВЕДЕНИЯ ЭКСПЕРТИЗЫ ПРЕДПРОЕКТНОЙ, ПРОЕКТНОЙ, ТЕНДЕРНОЙ ДОКУМЕНТАЦИИ И КОНТРАКТОВ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- постановление).</w:t>
            </w:r>
          </w:p>
        </w:tc>
      </w:tr>
      <w:tr w:rsidR="007776F4" w:rsidRPr="00C47042" w14:paraId="42BA4FFD" w14:textId="77777777" w:rsidTr="00102A82">
        <w:trPr>
          <w:trHeight w:val="342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73A958A3" w14:textId="583ED46F" w:rsidR="007776F4" w:rsidRPr="002548D5" w:rsidRDefault="007776F4" w:rsidP="0084604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наилучшего предложен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A3462" w:rsidRPr="005A346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 проверка финансово-отчетности организации</w:t>
            </w: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2AA2045B" w14:textId="4533342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</w:t>
            </w:r>
            <w:r w:rsidR="00AF2C45">
              <w:rPr>
                <w:sz w:val="24"/>
                <w:szCs w:val="24"/>
              </w:rPr>
              <w:t xml:space="preserve"> расчитывается исходя из тех задания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2A63A65D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A07ABB">
              <w:rPr>
                <w:sz w:val="24"/>
                <w:szCs w:val="24"/>
              </w:rPr>
              <w:t>отбор</w:t>
            </w:r>
            <w:r w:rsidR="00933961">
              <w:rPr>
                <w:sz w:val="24"/>
                <w:szCs w:val="24"/>
              </w:rPr>
              <w:t>а</w:t>
            </w:r>
            <w:r w:rsidR="00A07ABB">
              <w:rPr>
                <w:sz w:val="24"/>
                <w:szCs w:val="24"/>
              </w:rPr>
              <w:t xml:space="preserve"> наилучших пред</w:t>
            </w:r>
            <w:r w:rsidR="00933961">
              <w:rPr>
                <w:sz w:val="24"/>
                <w:szCs w:val="24"/>
              </w:rPr>
              <w:t>ложений</w:t>
            </w:r>
            <w:r w:rsidRPr="00541DBF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17078D36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933961">
              <w:rPr>
                <w:sz w:val="24"/>
                <w:szCs w:val="24"/>
              </w:rPr>
              <w:t>отбора наилучших предложений</w:t>
            </w:r>
            <w:r w:rsidR="00933961" w:rsidRPr="00541DBF">
              <w:rPr>
                <w:sz w:val="24"/>
                <w:szCs w:val="24"/>
              </w:rPr>
              <w:t xml:space="preserve"> </w:t>
            </w:r>
            <w:r w:rsidRPr="00541DBF">
              <w:rPr>
                <w:sz w:val="24"/>
                <w:szCs w:val="24"/>
              </w:rPr>
              <w:t xml:space="preserve">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4BA1608B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692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17202ED4" w14:textId="4BC49754" w:rsidR="005C0303" w:rsidRDefault="007776F4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690" w:rsidRPr="003A1690">
              <w:rPr>
                <w:rFonts w:ascii="Times New Roman" w:hAnsi="Times New Roman" w:cs="Times New Roman"/>
                <w:sz w:val="24"/>
                <w:szCs w:val="24"/>
              </w:rPr>
              <w:t>"BORDONKO`L YO`LLARDAN FOYDALANISH UCHASTKASI"</w:t>
            </w:r>
          </w:p>
          <w:p w14:paraId="48B134A3" w14:textId="3F4583C1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933961">
              <w:rPr>
                <w:sz w:val="24"/>
                <w:szCs w:val="24"/>
              </w:rPr>
              <w:t>отбор наилучшего предложения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513D1ED7" w14:textId="4A66118A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Адрес «Заказчика»:</w:t>
            </w:r>
            <w:r w:rsidR="00102A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A1690" w:rsidRPr="003A1690">
              <w:rPr>
                <w:rFonts w:ascii="Arial" w:eastAsia="Times New Roman" w:hAnsi="Arial" w:cs="Arial"/>
                <w:sz w:val="24"/>
                <w:szCs w:val="24"/>
              </w:rPr>
              <w:t>Ташкентская область, Юкоричирчикский район , пост Барданкуль</w:t>
            </w:r>
          </w:p>
          <w:p w14:paraId="00D3F304" w14:textId="77777777" w:rsidR="007776F4" w:rsidRDefault="007E38DF" w:rsidP="003A1690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Реквизиты «Заказчика»: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</w:p>
          <w:p w14:paraId="4945907D" w14:textId="77777777" w:rsidR="003A1690" w:rsidRDefault="00102A82" w:rsidP="00102A82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2A82">
              <w:rPr>
                <w:rFonts w:ascii="Arial" w:eastAsia="Times New Roman" w:hAnsi="Arial" w:cs="Arial"/>
                <w:sz w:val="24"/>
                <w:szCs w:val="24"/>
              </w:rPr>
              <w:t>ИНН 302637810</w:t>
            </w:r>
          </w:p>
          <w:p w14:paraId="0990B473" w14:textId="77777777" w:rsidR="00102A82" w:rsidRDefault="00102A82" w:rsidP="00102A82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2A82">
              <w:rPr>
                <w:rFonts w:ascii="Arial" w:eastAsia="Times New Roman" w:hAnsi="Arial" w:cs="Arial"/>
                <w:sz w:val="24"/>
                <w:szCs w:val="24"/>
              </w:rPr>
              <w:t>Расч. счет 20208000000235604001</w:t>
            </w:r>
          </w:p>
          <w:p w14:paraId="55E243E7" w14:textId="77777777" w:rsidR="00102A82" w:rsidRDefault="00102A82" w:rsidP="00102A82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Хамкор банк МФО: 01008</w:t>
            </w:r>
          </w:p>
          <w:p w14:paraId="0FEDF60F" w14:textId="4AFFE433" w:rsidR="00102A82" w:rsidRPr="00AB2E8E" w:rsidRDefault="00102A82" w:rsidP="00102A82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228B5C96" w14:textId="77777777" w:rsidR="007776F4" w:rsidRPr="001A0905" w:rsidRDefault="007776F4" w:rsidP="00102A82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56C6C82C" w14:textId="49626F7C" w:rsidR="005C0303" w:rsidRDefault="00933961" w:rsidP="0093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отбора наилучших предложений</w:t>
            </w:r>
            <w:r w:rsidRPr="00541DBF">
              <w:rPr>
                <w:sz w:val="24"/>
                <w:szCs w:val="24"/>
              </w:rPr>
              <w:t xml:space="preserve"> 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A82" w:rsidRPr="00102A82">
              <w:rPr>
                <w:rFonts w:ascii="Times New Roman" w:hAnsi="Times New Roman" w:cs="Times New Roman"/>
                <w:sz w:val="24"/>
                <w:szCs w:val="24"/>
              </w:rPr>
              <w:t>"BORDONKO`L YO`LLARDAN FOYDALANISH UCHASTKASI"</w:t>
            </w:r>
          </w:p>
          <w:p w14:paraId="22FA1A6D" w14:textId="77777777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6FD48449" w14:textId="6E493CCC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102A82" w:rsidRPr="00102A82">
              <w:rPr>
                <w:rFonts w:ascii="Arial" w:hAnsi="Arial" w:cs="Arial"/>
                <w:sz w:val="24"/>
                <w:szCs w:val="24"/>
                <w:u w:val="single"/>
              </w:rPr>
              <w:t>Ташкентская область, Юкоричирчикский район , пост Барданкуль</w:t>
            </w:r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35CC4F5E" w14:textId="13A21DA5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Договородержатель</w:t>
            </w:r>
            <w:r w:rsidRPr="00102A82">
              <w:rPr>
                <w:sz w:val="24"/>
                <w:szCs w:val="24"/>
              </w:rPr>
              <w:t>:</w:t>
            </w:r>
            <w:r w:rsidR="00102A82">
              <w:t xml:space="preserve"> </w:t>
            </w:r>
            <w:r w:rsidR="00102A82" w:rsidRPr="00102A82">
              <w:rPr>
                <w:sz w:val="24"/>
                <w:szCs w:val="24"/>
              </w:rPr>
              <w:t>"BORDONKO`L YO`LLARDAN FOYDALANISH UCHASTKASI"</w:t>
            </w:r>
          </w:p>
          <w:p w14:paraId="7A0D8756" w14:textId="77777777" w:rsidR="007776F4" w:rsidRPr="00102A8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102A8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15157AA" w14:textId="77777777" w:rsidR="007776F4" w:rsidRPr="00102A8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48FA4FDE" w:rsidR="007776F4" w:rsidRPr="00541DBF" w:rsidRDefault="00933961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«отбор наилучшего предложения» </w:t>
            </w:r>
            <w:r w:rsidR="007776F4" w:rsidRPr="00541DBF">
              <w:rPr>
                <w:sz w:val="24"/>
                <w:szCs w:val="24"/>
              </w:rPr>
              <w:t xml:space="preserve">проводится </w:t>
            </w:r>
            <w:r>
              <w:rPr>
                <w:sz w:val="24"/>
                <w:szCs w:val="24"/>
              </w:rPr>
              <w:t>отбор наилучшего предложения</w:t>
            </w:r>
            <w:r w:rsidRPr="00541DBF">
              <w:rPr>
                <w:sz w:val="24"/>
                <w:szCs w:val="24"/>
              </w:rPr>
              <w:t xml:space="preserve"> </w:t>
            </w:r>
            <w:r w:rsidR="007776F4" w:rsidRPr="00541DBF">
              <w:rPr>
                <w:sz w:val="24"/>
                <w:szCs w:val="24"/>
              </w:rPr>
              <w:t xml:space="preserve">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24B244F1" w14:textId="15EB2DAF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EC66FE" w:rsidRP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наилучшего предложения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517AADED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5528D8" w:rsidRPr="005528D8">
              <w:rPr>
                <w:sz w:val="24"/>
                <w:szCs w:val="24"/>
              </w:rPr>
              <w:t>отбор</w:t>
            </w:r>
            <w:r w:rsidR="005528D8">
              <w:rPr>
                <w:sz w:val="24"/>
                <w:szCs w:val="24"/>
              </w:rPr>
              <w:t>е</w:t>
            </w:r>
            <w:r w:rsidR="005528D8" w:rsidRPr="005528D8">
              <w:rPr>
                <w:sz w:val="24"/>
                <w:szCs w:val="24"/>
              </w:rPr>
              <w:t xml:space="preserve"> наилучшего предложения </w:t>
            </w:r>
            <w:r w:rsidRPr="00541DBF">
              <w:rPr>
                <w:sz w:val="24"/>
                <w:szCs w:val="24"/>
              </w:rPr>
              <w:t>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5EB96B8A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EC66FE" w:rsidRP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отбор наилучшего предложения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6B4362E1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 наилучшего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участник 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наилучш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должен: </w:t>
            </w:r>
          </w:p>
          <w:p w14:paraId="5FB95274" w14:textId="21CFB48D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9D0C6C" w14:textId="290F488D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в соответствии с требованиями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31E3F1F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75F26B40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применение какой-либо </w:t>
            </w:r>
            <w:r w:rsidR="007E614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14:paraId="3E48EDE5" w14:textId="16443695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042A3515" w:rsidR="007776F4" w:rsidRPr="00831EF2" w:rsidRDefault="00EC66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отборного</w:t>
            </w:r>
            <w:r w:rsidR="007776F4" w:rsidRPr="00831EF2">
              <w:rPr>
                <w:sz w:val="24"/>
                <w:szCs w:val="24"/>
              </w:rPr>
              <w:t xml:space="preserve">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4ED339F8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EC66FE">
              <w:rPr>
                <w:sz w:val="24"/>
                <w:szCs w:val="24"/>
              </w:rPr>
              <w:t>отборном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3479D014" w:rsidR="007776F4" w:rsidRPr="00C47042" w:rsidRDefault="00692FAE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6AA51698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EC66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EC66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59D4801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EC66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C52C1A1" w14:textId="77777777" w:rsidTr="00475686">
        <w:trPr>
          <w:trHeight w:val="444"/>
        </w:trPr>
        <w:tc>
          <w:tcPr>
            <w:tcW w:w="746" w:type="dxa"/>
            <w:gridSpan w:val="2"/>
          </w:tcPr>
          <w:p w14:paraId="3E94655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01167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C6EAB4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4" w:type="dxa"/>
          </w:tcPr>
          <w:p w14:paraId="6C26ECAE" w14:textId="1A7305D7" w:rsidR="007776F4" w:rsidRPr="0037201E" w:rsidRDefault="00EC66FE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37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состоит из: </w:t>
            </w:r>
          </w:p>
        </w:tc>
      </w:tr>
      <w:tr w:rsidR="007776F4" w:rsidRPr="00C47042" w14:paraId="74116680" w14:textId="77777777" w:rsidTr="00475686">
        <w:trPr>
          <w:trHeight w:val="1537"/>
        </w:trPr>
        <w:tc>
          <w:tcPr>
            <w:tcW w:w="746" w:type="dxa"/>
            <w:gridSpan w:val="2"/>
          </w:tcPr>
          <w:p w14:paraId="7DDAFF0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76D1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A0DD66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735A8E48" w14:textId="00BF50A1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ценов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и которая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 или 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оказания услуг, итоговая сумма, условия платежа, срок действия предложения и т.п.</w:t>
            </w: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8730E3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C376B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BA638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2A2EE" w14:textId="38849F5D" w:rsidR="007776F4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65AF7C8" w14:textId="20B8B3B3" w:rsidR="00F34571" w:rsidRPr="00797C46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4" w:type="dxa"/>
            <w:vAlign w:val="bottom"/>
          </w:tcPr>
          <w:p w14:paraId="4AE0B428" w14:textId="54DF14E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должен </w:t>
            </w:r>
            <w:r w:rsidR="00F34571">
              <w:rPr>
                <w:sz w:val="24"/>
                <w:szCs w:val="24"/>
              </w:rPr>
              <w:t xml:space="preserve">через онлайн портал отправить </w:t>
            </w:r>
            <w:r w:rsidRPr="00BB6761">
              <w:rPr>
                <w:sz w:val="24"/>
                <w:szCs w:val="24"/>
              </w:rPr>
              <w:t xml:space="preserve"> все </w:t>
            </w:r>
            <w:r w:rsidR="00692FAE">
              <w:rPr>
                <w:sz w:val="24"/>
                <w:szCs w:val="24"/>
              </w:rPr>
              <w:t>отборные</w:t>
            </w:r>
            <w:r w:rsidRPr="00BB6761">
              <w:rPr>
                <w:sz w:val="24"/>
                <w:szCs w:val="24"/>
              </w:rPr>
              <w:t xml:space="preserve"> документы, которые должны быть представлены в сканированном виде, </w:t>
            </w: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1C93BCE6" w:rsidR="007776F4" w:rsidRPr="00C47042" w:rsidRDefault="00692FAE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5AA12BBC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616DFE4A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отборными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3672A39A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692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63ECE761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поданными участниками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01573DC6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2DC0E365" w:rsidR="007776F4" w:rsidRPr="00BB6761" w:rsidRDefault="00692FA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Отборная</w:t>
            </w:r>
            <w:r w:rsidR="007776F4" w:rsidRPr="00BB6761">
              <w:rPr>
                <w:sz w:val="24"/>
                <w:szCs w:val="24"/>
              </w:rPr>
              <w:t xml:space="preserve">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отбора</w:t>
            </w:r>
            <w:r w:rsidR="007776F4" w:rsidRPr="00BB6761">
              <w:rPr>
                <w:sz w:val="24"/>
                <w:szCs w:val="24"/>
              </w:rPr>
              <w:t xml:space="preserve"> на основе критериев, указанных в </w:t>
            </w:r>
            <w:r>
              <w:rPr>
                <w:sz w:val="24"/>
                <w:szCs w:val="24"/>
              </w:rPr>
              <w:t>отборной</w:t>
            </w:r>
            <w:r w:rsidR="007776F4" w:rsidRPr="00BB676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51DC65F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</w:t>
            </w:r>
            <w:r w:rsidR="00692FA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вправе отстранить такого участника от участия в </w:t>
            </w:r>
            <w:r w:rsidR="007E6144">
              <w:rPr>
                <w:sz w:val="24"/>
                <w:szCs w:val="24"/>
              </w:rPr>
              <w:t>отборе</w:t>
            </w:r>
            <w:r w:rsidRPr="00BB6761">
              <w:rPr>
                <w:sz w:val="24"/>
                <w:szCs w:val="24"/>
              </w:rPr>
              <w:t>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07D7C2A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692FA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2DB0916F" w:rsidR="007776F4" w:rsidRPr="00C47042" w:rsidRDefault="00692FAE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отклоняет предложение, если подавший его участник </w:t>
            </w:r>
            <w:r w:rsidR="007E614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требованиям, установленным Законом и постановлением или 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отбора 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0B94CE07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692FA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может запрашивать у участников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 разъяснения по поводу их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предложений. Данная процедура проводится официально, в письменной форме в установленном порядке через организатора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568F3989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 w:rsidR="00692FA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08217526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lastRenderedPageBreak/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6BEFFA52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4B2ED95B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84C1" w14:textId="77777777" w:rsidR="00AD3723" w:rsidRDefault="00AD3723">
      <w:pPr>
        <w:spacing w:after="0" w:line="240" w:lineRule="auto"/>
      </w:pPr>
      <w:r>
        <w:separator/>
      </w:r>
    </w:p>
  </w:endnote>
  <w:endnote w:type="continuationSeparator" w:id="0">
    <w:p w14:paraId="6561A5CC" w14:textId="77777777" w:rsidR="00AD3723" w:rsidRDefault="00AD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AD3723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85F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1628C2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AD3723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AD3723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631D" w14:textId="77777777" w:rsidR="00AD3723" w:rsidRDefault="00AD3723">
      <w:pPr>
        <w:spacing w:after="0" w:line="240" w:lineRule="auto"/>
      </w:pPr>
      <w:r>
        <w:separator/>
      </w:r>
    </w:p>
  </w:footnote>
  <w:footnote w:type="continuationSeparator" w:id="0">
    <w:p w14:paraId="0688FCCA" w14:textId="77777777" w:rsidR="00AD3723" w:rsidRDefault="00AD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9D88" w14:textId="77777777" w:rsidR="00A05B6C" w:rsidRDefault="00AD37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2440" w14:textId="77777777" w:rsidR="00A05B6C" w:rsidRDefault="00AD37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0748" w14:textId="77777777" w:rsidR="00A05B6C" w:rsidRDefault="00AD37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4"/>
    <w:rsid w:val="00001AA3"/>
    <w:rsid w:val="00054309"/>
    <w:rsid w:val="00077A40"/>
    <w:rsid w:val="000B0052"/>
    <w:rsid w:val="000B4817"/>
    <w:rsid w:val="000E7607"/>
    <w:rsid w:val="000F5D21"/>
    <w:rsid w:val="00102A82"/>
    <w:rsid w:val="00122C62"/>
    <w:rsid w:val="001268D4"/>
    <w:rsid w:val="0013284B"/>
    <w:rsid w:val="00155317"/>
    <w:rsid w:val="001628C2"/>
    <w:rsid w:val="00170479"/>
    <w:rsid w:val="0018339D"/>
    <w:rsid w:val="001A7F89"/>
    <w:rsid w:val="001F45FB"/>
    <w:rsid w:val="00202FBC"/>
    <w:rsid w:val="00273946"/>
    <w:rsid w:val="002A7122"/>
    <w:rsid w:val="002C5657"/>
    <w:rsid w:val="002C59E3"/>
    <w:rsid w:val="002C718B"/>
    <w:rsid w:val="002D5040"/>
    <w:rsid w:val="00302543"/>
    <w:rsid w:val="003046DF"/>
    <w:rsid w:val="003562E6"/>
    <w:rsid w:val="003601BD"/>
    <w:rsid w:val="003A1690"/>
    <w:rsid w:val="003B68E1"/>
    <w:rsid w:val="003C588F"/>
    <w:rsid w:val="003F266F"/>
    <w:rsid w:val="00400B2E"/>
    <w:rsid w:val="00402B18"/>
    <w:rsid w:val="004448BE"/>
    <w:rsid w:val="0045438E"/>
    <w:rsid w:val="00486197"/>
    <w:rsid w:val="00493473"/>
    <w:rsid w:val="004A7F05"/>
    <w:rsid w:val="004B4964"/>
    <w:rsid w:val="004B5C16"/>
    <w:rsid w:val="005064C4"/>
    <w:rsid w:val="00523BA6"/>
    <w:rsid w:val="005244F7"/>
    <w:rsid w:val="005528D8"/>
    <w:rsid w:val="00553228"/>
    <w:rsid w:val="005612D6"/>
    <w:rsid w:val="00564458"/>
    <w:rsid w:val="005A3462"/>
    <w:rsid w:val="005B2DA1"/>
    <w:rsid w:val="005C0303"/>
    <w:rsid w:val="005C72D2"/>
    <w:rsid w:val="005E14D2"/>
    <w:rsid w:val="005E298B"/>
    <w:rsid w:val="00605A67"/>
    <w:rsid w:val="00620EB3"/>
    <w:rsid w:val="00692FAE"/>
    <w:rsid w:val="00694BA5"/>
    <w:rsid w:val="006F3CE2"/>
    <w:rsid w:val="006F7051"/>
    <w:rsid w:val="00726B10"/>
    <w:rsid w:val="00734A4B"/>
    <w:rsid w:val="00770167"/>
    <w:rsid w:val="007776F4"/>
    <w:rsid w:val="00797C46"/>
    <w:rsid w:val="007A4F98"/>
    <w:rsid w:val="007B2452"/>
    <w:rsid w:val="007C1F6C"/>
    <w:rsid w:val="007D3122"/>
    <w:rsid w:val="007D5843"/>
    <w:rsid w:val="007E2E19"/>
    <w:rsid w:val="007E38DF"/>
    <w:rsid w:val="007E6144"/>
    <w:rsid w:val="00843300"/>
    <w:rsid w:val="00846040"/>
    <w:rsid w:val="008A3E5B"/>
    <w:rsid w:val="008B7C0E"/>
    <w:rsid w:val="008C3AAE"/>
    <w:rsid w:val="008D4463"/>
    <w:rsid w:val="008F02EE"/>
    <w:rsid w:val="0090687B"/>
    <w:rsid w:val="009110CE"/>
    <w:rsid w:val="00925652"/>
    <w:rsid w:val="00933961"/>
    <w:rsid w:val="009458C8"/>
    <w:rsid w:val="009551B1"/>
    <w:rsid w:val="009A2AD7"/>
    <w:rsid w:val="009C3DB6"/>
    <w:rsid w:val="009E2D46"/>
    <w:rsid w:val="009F1B95"/>
    <w:rsid w:val="009F4F39"/>
    <w:rsid w:val="00A07ABB"/>
    <w:rsid w:val="00A12F24"/>
    <w:rsid w:val="00A7323D"/>
    <w:rsid w:val="00AA4833"/>
    <w:rsid w:val="00AB028E"/>
    <w:rsid w:val="00AB02C2"/>
    <w:rsid w:val="00AD3723"/>
    <w:rsid w:val="00AF2C45"/>
    <w:rsid w:val="00B169F0"/>
    <w:rsid w:val="00B83E6B"/>
    <w:rsid w:val="00B8677D"/>
    <w:rsid w:val="00B92362"/>
    <w:rsid w:val="00B96B0E"/>
    <w:rsid w:val="00BC7BC6"/>
    <w:rsid w:val="00C12A17"/>
    <w:rsid w:val="00C67F03"/>
    <w:rsid w:val="00C82183"/>
    <w:rsid w:val="00C8629D"/>
    <w:rsid w:val="00CA394E"/>
    <w:rsid w:val="00CB5A8B"/>
    <w:rsid w:val="00CC2030"/>
    <w:rsid w:val="00CC2137"/>
    <w:rsid w:val="00D1347A"/>
    <w:rsid w:val="00D17F25"/>
    <w:rsid w:val="00D5123E"/>
    <w:rsid w:val="00D80439"/>
    <w:rsid w:val="00D91EF7"/>
    <w:rsid w:val="00D9453E"/>
    <w:rsid w:val="00DA0919"/>
    <w:rsid w:val="00E11667"/>
    <w:rsid w:val="00E1404B"/>
    <w:rsid w:val="00E7798F"/>
    <w:rsid w:val="00EC24C0"/>
    <w:rsid w:val="00EC66FE"/>
    <w:rsid w:val="00EF49D1"/>
    <w:rsid w:val="00EF67E0"/>
    <w:rsid w:val="00F01DAA"/>
    <w:rsid w:val="00F2224D"/>
    <w:rsid w:val="00F34571"/>
    <w:rsid w:val="00F42A13"/>
    <w:rsid w:val="00F67A1E"/>
    <w:rsid w:val="00FB410F"/>
    <w:rsid w:val="00FC325E"/>
    <w:rsid w:val="00FD1305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26</cp:revision>
  <dcterms:created xsi:type="dcterms:W3CDTF">2021-04-22T05:26:00Z</dcterms:created>
  <dcterms:modified xsi:type="dcterms:W3CDTF">2022-03-31T10:51:00Z</dcterms:modified>
</cp:coreProperties>
</file>