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F0" w:rsidRPr="00C4450F" w:rsidRDefault="00721BF0" w:rsidP="00C4450F">
      <w:pPr>
        <w:spacing w:line="276" w:lineRule="auto"/>
        <w:jc w:val="center"/>
        <w:rPr>
          <w:sz w:val="36"/>
          <w:szCs w:val="28"/>
        </w:rPr>
      </w:pPr>
      <w:r w:rsidRPr="00C4450F">
        <w:rPr>
          <w:sz w:val="36"/>
          <w:szCs w:val="28"/>
          <w:lang w:val="uz-Cyrl-UZ"/>
        </w:rPr>
        <w:t>Махсулот етказиб бериш учун</w:t>
      </w:r>
    </w:p>
    <w:p w:rsidR="00721BF0" w:rsidRPr="00C4450F" w:rsidRDefault="00721BF0" w:rsidP="00C4450F">
      <w:pPr>
        <w:spacing w:line="276" w:lineRule="auto"/>
        <w:jc w:val="center"/>
        <w:rPr>
          <w:b/>
          <w:szCs w:val="32"/>
        </w:rPr>
      </w:pPr>
      <w:r w:rsidRPr="00C4450F">
        <w:rPr>
          <w:b/>
          <w:szCs w:val="32"/>
          <w:lang w:val="uz-Cyrl-UZ"/>
        </w:rPr>
        <w:t>ШАРТНОМА №</w:t>
      </w:r>
      <w:r w:rsidR="00930168" w:rsidRPr="00C4450F">
        <w:rPr>
          <w:b/>
          <w:szCs w:val="32"/>
        </w:rPr>
        <w:t xml:space="preserve"> ____</w:t>
      </w:r>
    </w:p>
    <w:p w:rsidR="00721BF0" w:rsidRPr="003B5553" w:rsidRDefault="00721BF0">
      <w:pPr>
        <w:rPr>
          <w:sz w:val="26"/>
          <w:szCs w:val="26"/>
        </w:rPr>
      </w:pPr>
    </w:p>
    <w:p w:rsidR="00721BF0" w:rsidRPr="003B5553" w:rsidRDefault="003B5553">
      <w:pPr>
        <w:rPr>
          <w:sz w:val="26"/>
          <w:szCs w:val="26"/>
        </w:rPr>
      </w:pPr>
      <w:r w:rsidRPr="00C4450F">
        <w:rPr>
          <w:sz w:val="26"/>
          <w:szCs w:val="26"/>
        </w:rPr>
        <w:t xml:space="preserve">“___” _________ </w:t>
      </w:r>
      <w:r>
        <w:rPr>
          <w:sz w:val="26"/>
          <w:szCs w:val="26"/>
        </w:rPr>
        <w:t xml:space="preserve">2021 </w:t>
      </w:r>
      <w:proofErr w:type="spellStart"/>
      <w:r>
        <w:rPr>
          <w:sz w:val="26"/>
          <w:szCs w:val="26"/>
        </w:rPr>
        <w:t>йил</w:t>
      </w:r>
      <w:r w:rsidR="00C82768">
        <w:rPr>
          <w:sz w:val="26"/>
          <w:szCs w:val="26"/>
        </w:rPr>
        <w:t>Бувайда</w:t>
      </w:r>
      <w:r>
        <w:rPr>
          <w:sz w:val="26"/>
          <w:szCs w:val="26"/>
        </w:rPr>
        <w:t>тумани</w:t>
      </w:r>
      <w:proofErr w:type="spellEnd"/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D53235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Икки томонлама хўжалик муносабатларини ифодаловчи мазкур шартнома Ўзбекистон Республикаси қонунчилигини ҳамда ўз низоми асосида фаолият кўрсатувчи “</w:t>
      </w:r>
      <w:r w:rsidR="00F261DC" w:rsidRPr="00F261DC">
        <w:rPr>
          <w:sz w:val="26"/>
          <w:szCs w:val="26"/>
          <w:lang w:val="uz-Cyrl-UZ"/>
        </w:rPr>
        <w:t>YANGIQO’RG’ON MEBEL MAKS</w:t>
      </w:r>
      <w:r w:rsidRPr="00423981">
        <w:rPr>
          <w:sz w:val="26"/>
          <w:szCs w:val="26"/>
          <w:lang w:val="uz-Cyrl-UZ"/>
        </w:rPr>
        <w:t xml:space="preserve">” </w:t>
      </w:r>
      <w:r w:rsidR="00F261DC">
        <w:rPr>
          <w:sz w:val="26"/>
          <w:szCs w:val="26"/>
          <w:lang w:val="uz-Cyrl-UZ"/>
        </w:rPr>
        <w:t xml:space="preserve">хусусий корхонаси </w:t>
      </w:r>
      <w:r w:rsidRPr="00423981">
        <w:rPr>
          <w:sz w:val="26"/>
          <w:szCs w:val="26"/>
          <w:lang w:val="uz-Cyrl-UZ"/>
        </w:rPr>
        <w:t xml:space="preserve">(кейинги ўринларда “Сотувчи” деб аталади) номидан корхона раҳбари </w:t>
      </w:r>
      <w:r w:rsidR="001E1170">
        <w:rPr>
          <w:sz w:val="26"/>
          <w:szCs w:val="26"/>
          <w:lang w:val="uz-Cyrl-UZ"/>
        </w:rPr>
        <w:t>О</w:t>
      </w:r>
      <w:r w:rsidR="002D7EF8">
        <w:rPr>
          <w:sz w:val="26"/>
          <w:szCs w:val="26"/>
          <w:lang w:val="uz-Cyrl-UZ"/>
        </w:rPr>
        <w:t>.</w:t>
      </w:r>
      <w:r w:rsidR="001E1170">
        <w:rPr>
          <w:sz w:val="26"/>
          <w:szCs w:val="26"/>
          <w:lang w:val="uz-Cyrl-UZ"/>
        </w:rPr>
        <w:t xml:space="preserve">Солиев </w:t>
      </w:r>
      <w:r w:rsidRPr="00423981">
        <w:rPr>
          <w:sz w:val="26"/>
          <w:szCs w:val="26"/>
          <w:lang w:val="uz-Cyrl-UZ"/>
        </w:rPr>
        <w:t xml:space="preserve">биринчи томон ва иккинчи томон Низом асосидаиш юритувчи  ___________________________________________________ номидан унинг раҳбари ___________________________ (келгусижа харидор деб аталади) ўрталарида қуйидаги мақсадларда тузилади.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jc w:val="center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1. </w:t>
      </w:r>
      <w:r w:rsidRPr="00D53235">
        <w:rPr>
          <w:b/>
          <w:sz w:val="32"/>
          <w:szCs w:val="32"/>
          <w:lang w:val="uz-Cyrl-UZ"/>
        </w:rPr>
        <w:t>ШАРТНОМА МАЗМУНИ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1.1. “Сотувчи” “Харидор”га ўзида ишлаб чиқа</w:t>
      </w:r>
      <w:r w:rsidR="00F66E43">
        <w:rPr>
          <w:sz w:val="26"/>
          <w:szCs w:val="26"/>
          <w:lang w:val="uz-Cyrl-UZ"/>
        </w:rPr>
        <w:t xml:space="preserve">рилаётган хар-хил турдаги юмшок жихоз ва мебел </w:t>
      </w:r>
      <w:r w:rsidRPr="00423981">
        <w:rPr>
          <w:sz w:val="26"/>
          <w:szCs w:val="26"/>
          <w:lang w:val="uz-Cyrl-UZ"/>
        </w:rPr>
        <w:t xml:space="preserve">махсулотларни ишлаб чиқариб тайёрлаб сотади.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2179"/>
        <w:gridCol w:w="1133"/>
        <w:gridCol w:w="800"/>
        <w:gridCol w:w="1204"/>
        <w:gridCol w:w="1250"/>
        <w:gridCol w:w="1010"/>
        <w:gridCol w:w="843"/>
        <w:gridCol w:w="1315"/>
      </w:tblGrid>
      <w:tr w:rsidR="00721BF0" w:rsidRPr="00423981" w:rsidTr="004E1A69">
        <w:tc>
          <w:tcPr>
            <w:tcW w:w="46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33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Махсулот номи</w:t>
            </w:r>
          </w:p>
        </w:tc>
        <w:tc>
          <w:tcPr>
            <w:tcW w:w="82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Ўлчов бирлиги</w:t>
            </w:r>
          </w:p>
        </w:tc>
        <w:tc>
          <w:tcPr>
            <w:tcW w:w="80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Миқ-дори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Нархи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Суммаси</w:t>
            </w:r>
          </w:p>
        </w:tc>
        <w:tc>
          <w:tcPr>
            <w:tcW w:w="101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Акциз солиғи</w:t>
            </w:r>
          </w:p>
        </w:tc>
        <w:tc>
          <w:tcPr>
            <w:tcW w:w="862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ҚҚС</w:t>
            </w:r>
          </w:p>
        </w:tc>
        <w:tc>
          <w:tcPr>
            <w:tcW w:w="1389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Жами сумма</w:t>
            </w: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E1A69" w:rsidRDefault="00721BF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D53235" w:rsidRDefault="00721BF0" w:rsidP="00D53235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D53235">
              <w:rPr>
                <w:b/>
                <w:sz w:val="26"/>
                <w:szCs w:val="26"/>
                <w:lang w:val="uz-Cyrl-UZ"/>
              </w:rPr>
              <w:t>Жами:</w:t>
            </w: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D53235" w:rsidRDefault="00721BF0">
      <w:pPr>
        <w:rPr>
          <w:sz w:val="26"/>
          <w:szCs w:val="26"/>
          <w:lang w:val="en-US"/>
        </w:rPr>
      </w:pPr>
      <w:r w:rsidRPr="00423981">
        <w:rPr>
          <w:sz w:val="26"/>
          <w:szCs w:val="26"/>
          <w:lang w:val="uz-Cyrl-UZ"/>
        </w:rPr>
        <w:t xml:space="preserve">Шартноманинг умумий қиймати </w:t>
      </w:r>
      <w:r w:rsidR="00152B16">
        <w:rPr>
          <w:sz w:val="26"/>
          <w:szCs w:val="26"/>
          <w:lang w:val="uz-Cyrl-UZ"/>
        </w:rPr>
        <w:t>________</w:t>
      </w:r>
      <w:r w:rsidR="00D53235">
        <w:rPr>
          <w:sz w:val="26"/>
          <w:szCs w:val="26"/>
          <w:lang w:val="uz-Cyrl-UZ"/>
        </w:rPr>
        <w:t>_</w:t>
      </w:r>
      <w:r w:rsidR="00D53235">
        <w:rPr>
          <w:sz w:val="26"/>
          <w:szCs w:val="26"/>
          <w:lang w:val="en-US"/>
        </w:rPr>
        <w:t>___</w:t>
      </w:r>
      <w:bookmarkStart w:id="0" w:name="_GoBack"/>
      <w:bookmarkEnd w:id="0"/>
      <w:r w:rsidR="00D53235">
        <w:rPr>
          <w:sz w:val="26"/>
          <w:szCs w:val="26"/>
          <w:lang w:val="en-US"/>
        </w:rPr>
        <w:t>____________________________________</w:t>
      </w:r>
    </w:p>
    <w:p w:rsidR="00721BF0" w:rsidRDefault="00721BF0">
      <w:pPr>
        <w:rPr>
          <w:sz w:val="26"/>
          <w:szCs w:val="26"/>
          <w:lang w:val="uz-Cyrl-UZ"/>
        </w:rPr>
      </w:pPr>
    </w:p>
    <w:p w:rsidR="00F17A55" w:rsidRPr="00423981" w:rsidRDefault="00F17A55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2. ХИСОБ-КИТОБ ТАРТИБИ ВА МУДДАТИ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2.1.“Харидор” буюртма қилаётган махсулот учун “Сотувчи”ни банкдаги хисоб рақамига пул ўтказиш, пластик карта ёки нақд пул йўли билан </w:t>
      </w:r>
      <w:r w:rsidR="00D629E4">
        <w:rPr>
          <w:sz w:val="26"/>
          <w:szCs w:val="26"/>
          <w:lang w:val="uz-Cyrl-UZ"/>
        </w:rPr>
        <w:t>30</w:t>
      </w:r>
      <w:r w:rsidRPr="00423981">
        <w:rPr>
          <w:sz w:val="26"/>
          <w:szCs w:val="26"/>
          <w:lang w:val="uz-Cyrl-UZ"/>
        </w:rPr>
        <w:t xml:space="preserve">% олдиндан тўлов амалга оширилади. Шартнома келишилган муддатда махсулот етказиб берилади.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3.  МАХСУЛОТНИ ТОПШИРИШ ВА ҚАБУЛ ҚИЛИБ ОЛИШ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3.1. Тавйёр махсулот “Сотувчи” томонидан томонларнинг хар бирига биттадан 2 нусхада расмийлаштирилган хисоб ваоақа (счет фактура) асосида топширилади.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3.2. Махсулот харидор томонидан  юк жўнатиш хужжатлари тўлиқ имзолаган вақтдан бошлаб қабул қилиб олинган хисоблданади.</w:t>
      </w:r>
    </w:p>
    <w:p w:rsidR="00F17A55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4. ТОМОНЛАРНИНГ МАЖБУРИЯТЛАРИ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4.1. “Сотувчи” шартномада кўрсатилган талабларга риоя қилган холда ўз вақтида махсулот етказиб берилади.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4.2. Сотувчи буюртма қилинган махсулотни шартномада белгиланган муддатда етказиб бермаган тақдирда кечиктирилган хар бир куни учун 0,2% лекин буюртма қилинган махсулот қийматининг 20%дан ортиқ бўлмаган миқдорда жарима тўланади. 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4.3. “Харидор” буюртма бериб, олдиндан тўловни шартномада кўрсатилган муддатда тўламаганда кечиктирилган хар бир куни учун 0,2% лекин буюртма қилинган махсулот қийматининг 20%дан ортиқ бўлмаган миқдорда жарима тўланади. Шартнома талабларидан келиб чиқадиган низоларни томонлар ўзаро музокара йўли билан натижага эришаолмасалар иқтисодий суд ороқали хал қиладилар.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5. ФОРС МАЖОР ХОЛАТЛАРИ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Хеч бир тараф иккичи тараф олдидаўзига боғлиқ бўлмаган сабабларга кўра ва фавқулотда холат вазиятларда ушбу шартномадаги мажбуриятлари бўйича жавобгар эмас.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6. ШАРТНОМАНИ АМАЛ ҚИЛИШ МУДДАТИ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Ушбу шартн</w:t>
      </w:r>
      <w:r w:rsidR="00F66E43">
        <w:rPr>
          <w:sz w:val="26"/>
          <w:szCs w:val="26"/>
          <w:lang w:val="uz-Cyrl-UZ"/>
        </w:rPr>
        <w:t xml:space="preserve">ома </w:t>
      </w:r>
      <w:r w:rsidR="00AD2879" w:rsidRPr="00AD2879">
        <w:rPr>
          <w:sz w:val="26"/>
          <w:szCs w:val="26"/>
          <w:lang w:val="uz-Cyrl-UZ"/>
        </w:rPr>
        <w:t>“___” __________</w:t>
      </w:r>
      <w:r w:rsidR="00F66E43">
        <w:rPr>
          <w:sz w:val="26"/>
          <w:szCs w:val="26"/>
          <w:lang w:val="uz-Cyrl-UZ"/>
        </w:rPr>
        <w:t>2021</w:t>
      </w:r>
      <w:r w:rsidRPr="00423981">
        <w:rPr>
          <w:sz w:val="26"/>
          <w:szCs w:val="26"/>
          <w:lang w:val="uz-Cyrl-UZ"/>
        </w:rPr>
        <w:t xml:space="preserve"> йил</w:t>
      </w:r>
      <w:r w:rsidR="00AD2879">
        <w:rPr>
          <w:sz w:val="26"/>
          <w:szCs w:val="26"/>
          <w:lang w:val="uz-Cyrl-UZ"/>
        </w:rPr>
        <w:t>дан</w:t>
      </w:r>
      <w:r w:rsidRPr="00423981">
        <w:rPr>
          <w:sz w:val="26"/>
          <w:szCs w:val="26"/>
          <w:lang w:val="uz-Cyrl-UZ"/>
        </w:rPr>
        <w:t>31</w:t>
      </w:r>
      <w:r w:rsidR="00AD2879" w:rsidRPr="00AD2879">
        <w:rPr>
          <w:sz w:val="26"/>
          <w:szCs w:val="26"/>
          <w:lang w:val="uz-Cyrl-UZ"/>
        </w:rPr>
        <w:t>.12.202</w:t>
      </w:r>
      <w:r w:rsidR="00AD2879" w:rsidRPr="00AD2879">
        <w:rPr>
          <w:sz w:val="26"/>
          <w:szCs w:val="26"/>
        </w:rPr>
        <w:t xml:space="preserve">1 </w:t>
      </w:r>
      <w:r w:rsidR="00AD2879" w:rsidRPr="00AD2879">
        <w:rPr>
          <w:sz w:val="26"/>
          <w:szCs w:val="26"/>
          <w:lang w:val="uz-Cyrl-UZ"/>
        </w:rPr>
        <w:t xml:space="preserve"> йил</w:t>
      </w:r>
      <w:r w:rsidRPr="00423981">
        <w:rPr>
          <w:sz w:val="26"/>
          <w:szCs w:val="26"/>
          <w:lang w:val="uz-Cyrl-UZ"/>
        </w:rPr>
        <w:t xml:space="preserve">гача амал қилади.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7. ҚЎШИМЧА ШАРТЛАРИ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7.1. “Сотувчи” хом ашъё, газ, электр энергия ва сум бахолари, шунингдек солиқ ставкалари ва минимал иш хақи миқдори ҳамда эркин муомаладаги валюта курси ўзгарганда махсулот нархи ўзгартириш хуқуқини ўзида сақлаб қолади.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7.2. Шартнома икки нусхад тузилиб, хар бир нусхаси тенг хуқуқий кучга эга ва томонларда бир нусхадан сақланади. 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7.3. Шартномага киритиладиган барча ўзгартиришлар икки томонлама ёзма, келишилган ва қўшимча битим имзоланган холда қонуний деб хисобланади. </w:t>
      </w:r>
    </w:p>
    <w:p w:rsidR="00AA6C87" w:rsidRPr="00423981" w:rsidRDefault="00AA6C87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C60331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C60331">
        <w:rPr>
          <w:b/>
          <w:sz w:val="26"/>
          <w:szCs w:val="26"/>
          <w:lang w:val="uz-Cyrl-UZ"/>
        </w:rPr>
        <w:t>8. ТОМОНЛАРНИНГ ХУҚУҚИЙ МАНЗИЛИ ВА РЕКВИЗИТЛАРИ</w:t>
      </w:r>
    </w:p>
    <w:p w:rsidR="00721BF0" w:rsidRDefault="00721BF0">
      <w:pPr>
        <w:rPr>
          <w:sz w:val="26"/>
          <w:szCs w:val="26"/>
          <w:lang w:val="uz-Cyrl-UZ"/>
        </w:rPr>
      </w:pPr>
    </w:p>
    <w:p w:rsidR="00AA6C87" w:rsidRPr="00423981" w:rsidRDefault="00AA6C87">
      <w:pPr>
        <w:rPr>
          <w:sz w:val="26"/>
          <w:szCs w:val="26"/>
          <w:lang w:val="uz-Cyrl-UZ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733"/>
        <w:gridCol w:w="4556"/>
      </w:tblGrid>
      <w:tr w:rsidR="00721BF0" w:rsidRPr="00423981" w:rsidTr="00C82768">
        <w:trPr>
          <w:trHeight w:val="2898"/>
        </w:trPr>
        <w:tc>
          <w:tcPr>
            <w:tcW w:w="4786" w:type="dxa"/>
          </w:tcPr>
          <w:p w:rsidR="00721BF0" w:rsidRPr="00F261DC" w:rsidRDefault="00721BF0" w:rsidP="00AA6C87">
            <w:pPr>
              <w:jc w:val="center"/>
              <w:rPr>
                <w:b/>
                <w:szCs w:val="28"/>
                <w:lang w:val="uz-Cyrl-UZ"/>
              </w:rPr>
            </w:pPr>
            <w:r w:rsidRPr="00AA6C87">
              <w:rPr>
                <w:b/>
                <w:szCs w:val="28"/>
                <w:lang w:val="uz-Cyrl-UZ"/>
              </w:rPr>
              <w:t>Етказиб берувчи</w:t>
            </w:r>
            <w:r w:rsidR="000446CA" w:rsidRPr="00F261DC">
              <w:rPr>
                <w:b/>
                <w:szCs w:val="28"/>
                <w:lang w:val="uz-Cyrl-UZ"/>
              </w:rPr>
              <w:t>:</w:t>
            </w:r>
          </w:p>
          <w:p w:rsidR="00C82768" w:rsidRPr="008B0365" w:rsidRDefault="00C82768" w:rsidP="001E29B8">
            <w:pPr>
              <w:spacing w:line="276" w:lineRule="auto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“</w:t>
            </w:r>
            <w:r w:rsidRPr="00F261DC">
              <w:rPr>
                <w:sz w:val="26"/>
                <w:szCs w:val="26"/>
                <w:lang w:val="uz-Cyrl-UZ"/>
              </w:rPr>
              <w:t>YANGIQO’RG’ON MEBEL MAKS</w:t>
            </w:r>
            <w:r w:rsidRPr="00423981">
              <w:rPr>
                <w:sz w:val="26"/>
                <w:szCs w:val="26"/>
                <w:lang w:val="uz-Cyrl-UZ"/>
              </w:rPr>
              <w:t xml:space="preserve">” </w:t>
            </w:r>
            <w:r>
              <w:rPr>
                <w:sz w:val="26"/>
                <w:szCs w:val="26"/>
                <w:lang w:val="uz-Cyrl-UZ"/>
              </w:rPr>
              <w:t>х/к</w:t>
            </w:r>
          </w:p>
          <w:p w:rsidR="00721BF0" w:rsidRPr="00423981" w:rsidRDefault="00152B16" w:rsidP="001E29B8">
            <w:pPr>
              <w:spacing w:line="276" w:lineRule="auto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Манзил</w:t>
            </w:r>
            <w:r w:rsidR="00D57429">
              <w:rPr>
                <w:sz w:val="26"/>
                <w:szCs w:val="26"/>
                <w:lang w:val="uz-Cyrl-UZ"/>
              </w:rPr>
              <w:t xml:space="preserve">: </w:t>
            </w:r>
            <w:r w:rsidR="00C82768">
              <w:rPr>
                <w:sz w:val="26"/>
                <w:szCs w:val="26"/>
                <w:lang w:val="uz-Cyrl-UZ"/>
              </w:rPr>
              <w:t>Буайда</w:t>
            </w:r>
            <w:r w:rsidR="00D57429">
              <w:rPr>
                <w:sz w:val="26"/>
                <w:szCs w:val="26"/>
                <w:lang w:val="uz-Cyrl-UZ"/>
              </w:rPr>
              <w:t xml:space="preserve"> тумани </w:t>
            </w:r>
          </w:p>
          <w:p w:rsidR="00721BF0" w:rsidRPr="00423981" w:rsidRDefault="00152B16" w:rsidP="001E29B8">
            <w:pPr>
              <w:spacing w:line="276" w:lineRule="auto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="00AA6C87">
              <w:rPr>
                <w:sz w:val="26"/>
                <w:szCs w:val="26"/>
                <w:lang w:val="uz-Cyrl-UZ"/>
              </w:rPr>
              <w:t>20208000</w:t>
            </w:r>
            <w:r w:rsidR="008B0365">
              <w:rPr>
                <w:sz w:val="26"/>
                <w:szCs w:val="26"/>
                <w:lang w:val="uz-Cyrl-UZ"/>
              </w:rPr>
              <w:t>500401181001</w:t>
            </w:r>
          </w:p>
          <w:p w:rsidR="00721BF0" w:rsidRPr="00423981" w:rsidRDefault="008B0365" w:rsidP="001E29B8">
            <w:pPr>
              <w:spacing w:line="276" w:lineRule="auto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Универсал банк Бувайда филиали</w:t>
            </w:r>
          </w:p>
          <w:p w:rsidR="00721BF0" w:rsidRPr="00423981" w:rsidRDefault="00152B16" w:rsidP="001E29B8">
            <w:pPr>
              <w:spacing w:line="276" w:lineRule="auto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МФО </w:t>
            </w:r>
            <w:r w:rsidR="001E29B8">
              <w:rPr>
                <w:sz w:val="26"/>
                <w:szCs w:val="26"/>
                <w:lang w:val="uz-Cyrl-UZ"/>
              </w:rPr>
              <w:t>01</w:t>
            </w:r>
            <w:r w:rsidR="008B0365">
              <w:rPr>
                <w:sz w:val="26"/>
                <w:szCs w:val="26"/>
                <w:lang w:val="uz-Cyrl-UZ"/>
              </w:rPr>
              <w:t>151</w:t>
            </w:r>
            <w:r>
              <w:rPr>
                <w:sz w:val="26"/>
                <w:szCs w:val="26"/>
                <w:lang w:val="uz-Cyrl-UZ"/>
              </w:rPr>
              <w:t xml:space="preserve">    ИНН: </w:t>
            </w:r>
            <w:r w:rsidR="008B0365">
              <w:rPr>
                <w:sz w:val="26"/>
                <w:szCs w:val="26"/>
                <w:lang w:val="uz-Cyrl-UZ"/>
              </w:rPr>
              <w:t>303085715</w:t>
            </w:r>
          </w:p>
          <w:p w:rsidR="00721BF0" w:rsidRPr="00423981" w:rsidRDefault="00721BF0" w:rsidP="008B0365">
            <w:pPr>
              <w:spacing w:line="276" w:lineRule="auto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Раҳбар</w:t>
            </w:r>
            <w:r w:rsidRPr="00423981">
              <w:rPr>
                <w:sz w:val="26"/>
                <w:szCs w:val="26"/>
              </w:rPr>
              <w:t>______________</w:t>
            </w:r>
            <w:r w:rsidR="008B0365">
              <w:rPr>
                <w:sz w:val="26"/>
                <w:szCs w:val="26"/>
                <w:lang w:val="uz-Cyrl-UZ"/>
              </w:rPr>
              <w:t>О</w:t>
            </w:r>
            <w:r w:rsidR="00AA6C87">
              <w:rPr>
                <w:sz w:val="26"/>
                <w:szCs w:val="26"/>
                <w:lang w:val="uz-Cyrl-UZ"/>
              </w:rPr>
              <w:t>.</w:t>
            </w:r>
            <w:r w:rsidR="008B0365">
              <w:rPr>
                <w:sz w:val="26"/>
                <w:szCs w:val="26"/>
                <w:lang w:val="uz-Cyrl-UZ"/>
              </w:rPr>
              <w:t>Солиев</w:t>
            </w:r>
          </w:p>
        </w:tc>
        <w:tc>
          <w:tcPr>
            <w:tcW w:w="733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4556" w:type="dxa"/>
          </w:tcPr>
          <w:p w:rsidR="00721BF0" w:rsidRPr="00AA6C87" w:rsidRDefault="000446CA" w:rsidP="00AA6C87">
            <w:pPr>
              <w:jc w:val="center"/>
              <w:rPr>
                <w:b/>
                <w:szCs w:val="28"/>
                <w:lang w:val="uz-Cyrl-UZ"/>
              </w:rPr>
            </w:pPr>
            <w:r>
              <w:rPr>
                <w:b/>
                <w:szCs w:val="28"/>
                <w:lang w:val="uz-Cyrl-UZ"/>
              </w:rPr>
              <w:t>Буюртмачи:</w:t>
            </w:r>
          </w:p>
          <w:p w:rsidR="00721BF0" w:rsidRPr="00AA6C87" w:rsidRDefault="00721BF0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721BF0" w:rsidRPr="00F261DC" w:rsidRDefault="000446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Манзил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0446CA" w:rsidRPr="00F261DC" w:rsidRDefault="000446CA" w:rsidP="000446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="00721BF0" w:rsidRPr="00AA6C87">
              <w:rPr>
                <w:sz w:val="26"/>
                <w:szCs w:val="26"/>
              </w:rPr>
              <w:t>__________________</w:t>
            </w:r>
            <w:r w:rsidR="00721BF0" w:rsidRPr="000446CA">
              <w:rPr>
                <w:sz w:val="26"/>
                <w:szCs w:val="26"/>
              </w:rPr>
              <w:t>__________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>
              <w:rPr>
                <w:sz w:val="26"/>
                <w:szCs w:val="26"/>
                <w:lang w:val="en-US"/>
              </w:rPr>
              <w:t>___________________________</w:t>
            </w:r>
          </w:p>
          <w:p w:rsidR="00721BF0" w:rsidRPr="000446CA" w:rsidRDefault="000446C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AA6C87" w:rsidRPr="000446CA" w:rsidRDefault="00721BF0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</w:t>
            </w:r>
            <w:r w:rsidR="000446CA" w:rsidRPr="000446CA">
              <w:rPr>
                <w:sz w:val="26"/>
                <w:szCs w:val="26"/>
              </w:rPr>
              <w:t>_____</w:t>
            </w:r>
            <w:r w:rsidR="000446CA"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423981" w:rsidRDefault="00721BF0">
      <w:pPr>
        <w:rPr>
          <w:sz w:val="26"/>
          <w:szCs w:val="26"/>
          <w:lang w:val="uz-Cyrl-UZ"/>
        </w:rPr>
      </w:pPr>
    </w:p>
    <w:sectPr w:rsidR="00721BF0" w:rsidRPr="00423981" w:rsidSect="00280565">
      <w:pgSz w:w="11906" w:h="16838"/>
      <w:pgMar w:top="426" w:right="68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868"/>
    <w:rsid w:val="00011A8B"/>
    <w:rsid w:val="000446CA"/>
    <w:rsid w:val="00063629"/>
    <w:rsid w:val="000D2DCD"/>
    <w:rsid w:val="00110C8A"/>
    <w:rsid w:val="00134FA7"/>
    <w:rsid w:val="00152B16"/>
    <w:rsid w:val="001A5605"/>
    <w:rsid w:val="001E1170"/>
    <w:rsid w:val="001E29B8"/>
    <w:rsid w:val="00280565"/>
    <w:rsid w:val="00286257"/>
    <w:rsid w:val="002C2271"/>
    <w:rsid w:val="002D7EDB"/>
    <w:rsid w:val="002D7EF8"/>
    <w:rsid w:val="00375937"/>
    <w:rsid w:val="003B5553"/>
    <w:rsid w:val="00423981"/>
    <w:rsid w:val="0049003D"/>
    <w:rsid w:val="004E1A69"/>
    <w:rsid w:val="00657631"/>
    <w:rsid w:val="00693211"/>
    <w:rsid w:val="006E3FF1"/>
    <w:rsid w:val="00721BF0"/>
    <w:rsid w:val="00741BD7"/>
    <w:rsid w:val="007D0B01"/>
    <w:rsid w:val="0084148C"/>
    <w:rsid w:val="00891754"/>
    <w:rsid w:val="008B0365"/>
    <w:rsid w:val="008B21F7"/>
    <w:rsid w:val="00930168"/>
    <w:rsid w:val="0093171D"/>
    <w:rsid w:val="0099523D"/>
    <w:rsid w:val="00A067A7"/>
    <w:rsid w:val="00A6744C"/>
    <w:rsid w:val="00AA6C87"/>
    <w:rsid w:val="00AB2868"/>
    <w:rsid w:val="00AD2879"/>
    <w:rsid w:val="00C4450F"/>
    <w:rsid w:val="00C60331"/>
    <w:rsid w:val="00C6700E"/>
    <w:rsid w:val="00C75211"/>
    <w:rsid w:val="00C82768"/>
    <w:rsid w:val="00D457C8"/>
    <w:rsid w:val="00D53235"/>
    <w:rsid w:val="00D57429"/>
    <w:rsid w:val="00D629E4"/>
    <w:rsid w:val="00D62FC0"/>
    <w:rsid w:val="00DF642F"/>
    <w:rsid w:val="00E552D2"/>
    <w:rsid w:val="00E5588F"/>
    <w:rsid w:val="00E6277A"/>
    <w:rsid w:val="00ED22EC"/>
    <w:rsid w:val="00F178DB"/>
    <w:rsid w:val="00F17A55"/>
    <w:rsid w:val="00F17F9F"/>
    <w:rsid w:val="00F261DC"/>
    <w:rsid w:val="00F66E43"/>
    <w:rsid w:val="00F95785"/>
    <w:rsid w:val="00FB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71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868"/>
    <w:pPr>
      <w:ind w:left="720"/>
      <w:contextualSpacing/>
    </w:pPr>
  </w:style>
  <w:style w:type="table" w:styleId="a4">
    <w:name w:val="Table Grid"/>
    <w:basedOn w:val="a1"/>
    <w:uiPriority w:val="99"/>
    <w:rsid w:val="00AB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636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636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вцЫЫКНГГЗХ</dc:creator>
  <cp:keywords/>
  <dc:description/>
  <cp:lastModifiedBy>birja</cp:lastModifiedBy>
  <cp:revision>119</cp:revision>
  <cp:lastPrinted>2021-09-20T12:09:00Z</cp:lastPrinted>
  <dcterms:created xsi:type="dcterms:W3CDTF">2020-05-28T05:34:00Z</dcterms:created>
  <dcterms:modified xsi:type="dcterms:W3CDTF">2022-04-07T10:45:00Z</dcterms:modified>
</cp:coreProperties>
</file>