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5" w:type="dxa"/>
        <w:tblInd w:w="390" w:type="dxa"/>
        <w:shd w:val="clear" w:color="auto" w:fill="FFFFFF"/>
        <w:tblCellMar>
          <w:left w:w="0" w:type="dxa"/>
          <w:right w:w="0" w:type="dxa"/>
        </w:tblCellMar>
        <w:tblLook w:val="04A0" w:firstRow="1" w:lastRow="0" w:firstColumn="1" w:lastColumn="0" w:noHBand="0" w:noVBand="1"/>
      </w:tblPr>
      <w:tblGrid>
        <w:gridCol w:w="1783"/>
        <w:gridCol w:w="45"/>
        <w:gridCol w:w="748"/>
        <w:gridCol w:w="174"/>
        <w:gridCol w:w="450"/>
        <w:gridCol w:w="418"/>
        <w:gridCol w:w="830"/>
        <w:gridCol w:w="830"/>
        <w:gridCol w:w="135"/>
        <w:gridCol w:w="4560"/>
      </w:tblGrid>
      <w:tr w:rsidR="009959FB" w:rsidRPr="009959FB" w:rsidTr="00ED2396">
        <w:trPr>
          <w:gridAfter w:val="9"/>
          <w:wAfter w:w="8182"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center"/>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Аутсорсинг шартлари асосида хизматларни кўрсатиш бўйича</w:t>
            </w:r>
            <w:r w:rsidRPr="009959FB">
              <w:rPr>
                <w:rFonts w:ascii="Montserrat-Bold" w:eastAsia="Times New Roman" w:hAnsi="Montserrat-Bold" w:cs="Times New Roman"/>
                <w:b/>
                <w:bCs/>
                <w:color w:val="000000"/>
                <w:sz w:val="20"/>
                <w:szCs w:val="20"/>
                <w:lang w:eastAsia="ru-RU"/>
              </w:rPr>
              <w:br/>
            </w:r>
            <w:r w:rsidRPr="009959FB">
              <w:rPr>
                <w:rFonts w:ascii="Montserrat-Bold" w:eastAsia="Times New Roman" w:hAnsi="Montserrat-Bold" w:cs="Times New Roman"/>
                <w:b/>
                <w:bCs/>
                <w:color w:val="000000"/>
                <w:sz w:val="20"/>
                <w:lang w:eastAsia="ru-RU"/>
              </w:rPr>
              <w:t>НАМУНАВИЙ ШАРТНОМА</w:t>
            </w:r>
          </w:p>
        </w:tc>
      </w:tr>
      <w:tr w:rsidR="00BB42B5" w:rsidRPr="009959FB" w:rsidTr="00ED2396">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_______ шаҳри (тумани)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5572" w:type="dxa"/>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20___ йил «___» _______</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val="uz-Cyrl-UZ" w:eastAsia="ru-RU"/>
              </w:rPr>
              <w:t>_____________________________________ номидан Низом асосида фаолият юритувчи</w:t>
            </w:r>
          </w:p>
        </w:tc>
      </w:tr>
      <w:tr w:rsidR="00BB42B5" w:rsidRPr="009959FB" w:rsidTr="00ED2396">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629"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__________________________________ (кейинги ўринларда Буюртмачи деб аталади)</w:t>
            </w:r>
          </w:p>
        </w:tc>
      </w:tr>
      <w:tr w:rsidR="00BB42B5" w:rsidRPr="009959FB" w:rsidTr="00ED2396">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629"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бир томондан ва ____________________________ номидан Устав (ишончнома) асосида</w:t>
            </w:r>
          </w:p>
        </w:tc>
      </w:tr>
      <w:tr w:rsidR="00BB42B5" w:rsidRPr="009959FB" w:rsidTr="00ED2396">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629"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фаолият юритувчи директор ________________________________ (кейинги ўринларда</w:t>
            </w:r>
          </w:p>
        </w:tc>
      </w:tr>
      <w:tr w:rsidR="00BB42B5" w:rsidRPr="009959FB" w:rsidTr="00ED2396">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629"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Аутсорсер деб аталади), иккинчи томондан кейинчалик Томонлар деб аталади, ушбу Шартномани қуйидагилар тўғрисида туздилар.</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 Шартнома предмети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BB42B5" w:rsidRPr="009959FB" w:rsidTr="00ED2396">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95" w:type="dxa"/>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(аутсорсерга ўтказилган хизмат номи)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tc>
      </w:tr>
      <w:tr w:rsidR="009959FB" w:rsidRPr="009959FB" w:rsidTr="00ED2396">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1.3. Хизмат кўрсатиш муддати: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629"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BB42B5" w:rsidRPr="009959FB" w:rsidTr="00ED2396">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20 ___ йил «____» _____________дан.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629"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BB42B5" w:rsidRPr="009959FB" w:rsidTr="00ED2396">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629"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II. Томонларнинг ҳуқуқ ва мажбуриятлари</w:t>
            </w:r>
          </w:p>
        </w:tc>
      </w:tr>
      <w:tr w:rsidR="00BB42B5" w:rsidRPr="009959FB" w:rsidTr="00ED2396">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629"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2.1.1. Ижарага олинган мол-мулкдан фойдаланиш;</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2.1.3. Хизматлар таннархининг ўзгариши муносабати билан шартномага ўзгартириш киритиш таклифи билан чиқиш;</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2.1.4. Кўрсатилган хизматлар учун ўз вақтида тўловлар амалга оширилишини талаб қилиш;</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2.1.5. Кўрсатилган хизматлар натижасида фойда олиш;</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2.1.6. Буюртмачидан шартнома шартларининг бажарилишини талаб қилиш;</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2.1.7. Қонун ҳужжатларига мувофиқ бошқа ҳуқуқлар.</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 Аутсорсер қуйидагиларга мажбур:</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lastRenderedPageBreak/>
              <w:t>2.2.3. Товар (ишлар, хизматлар)нинг сифатли ишлаб чиқарилишини ва буюртмачига етказилишини таъминлаши;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2.2.4. Махфийлик тартибига қатъий риоя қилиши;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2.2.6. Хизматларни сифатли, мазкур Шартноманинг 1.3-бандида кўрсатилган муддатда ва тўлиқ ҳажмда кўрсатиши;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2.2.11. Хизмат кўрсатиш бўйича ишларни шахсан бажариши, мазкур Шартнома шартларини бажаришни учинчи шахсга топширмаслиги;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2.2.16. Қонун ҳужжатларига мувофиқ бошқа мажбуриятлар.</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 Буюртмачи қуйидаги ҳуқуқларга эга:</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2.3.1. Товарлар (ишлар, хизматлар) сифатли ишлаб чиқарилиши (бажарилиши, кўрсатилиши)ни талаб қилиш;</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2.3.2. Аутсорсернинг фаолиятига аралашмаган ҳолда, шартнома шартларининг бажарилишини назорат қилиш;</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2.3.4. Қонун ҳужжатларига мувофиқ бошқа ҳуқуқлар.</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 Буюртмачи қуйидагиларга мажбур:</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2.4.3. Қонун ҳужжатларига мувофиқ бошқа мажбуриятлар.</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III. Хизматлар нархи ва ўзаро ҳисоб-китоблар тартиби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030C37">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 xml:space="preserve">3.1. Мазкур шартноманинг иловасига мувофиқ хизматлар нархи </w:t>
            </w:r>
            <w:r w:rsidR="00030C37" w:rsidRPr="00030C37">
              <w:rPr>
                <w:rFonts w:ascii="Times New Roman" w:eastAsia="Times New Roman" w:hAnsi="Times New Roman" w:cs="Times New Roman"/>
                <w:color w:val="000000"/>
                <w:sz w:val="20"/>
                <w:szCs w:val="20"/>
                <w:lang w:eastAsia="ru-RU"/>
              </w:rPr>
              <w:t>___________________</w:t>
            </w:r>
            <w:r w:rsidR="00030C37" w:rsidRPr="00030C37">
              <w:rPr>
                <w:rFonts w:ascii="Times New Roman" w:eastAsia="Times New Roman" w:hAnsi="Times New Roman" w:cs="Times New Roman"/>
                <w:b/>
                <w:color w:val="000000"/>
                <w:sz w:val="20"/>
                <w:szCs w:val="20"/>
                <w:lang w:eastAsia="ru-RU"/>
              </w:rPr>
              <w:t>________________________</w:t>
            </w:r>
            <w:r w:rsidR="00ED2396" w:rsidRPr="00ED2396">
              <w:rPr>
                <w:rFonts w:ascii="Times New Roman" w:eastAsia="Times New Roman" w:hAnsi="Times New Roman" w:cs="Times New Roman"/>
                <w:b/>
                <w:color w:val="000000"/>
                <w:sz w:val="20"/>
                <w:szCs w:val="20"/>
                <w:lang w:val="uz-Cyrl-UZ" w:eastAsia="ru-RU"/>
              </w:rPr>
              <w:t xml:space="preserve"> (</w:t>
            </w:r>
            <w:r w:rsidR="00030C37" w:rsidRPr="00030C37">
              <w:rPr>
                <w:rFonts w:ascii="Times New Roman" w:eastAsia="Times New Roman" w:hAnsi="Times New Roman" w:cs="Times New Roman"/>
                <w:b/>
                <w:color w:val="000000"/>
                <w:sz w:val="20"/>
                <w:szCs w:val="20"/>
                <w:lang w:eastAsia="ru-RU"/>
              </w:rPr>
              <w:t>______________________________</w:t>
            </w:r>
            <w:r w:rsidR="00ED2396" w:rsidRPr="00ED2396">
              <w:rPr>
                <w:rFonts w:ascii="Times New Roman" w:eastAsia="Times New Roman" w:hAnsi="Times New Roman" w:cs="Times New Roman"/>
                <w:b/>
                <w:color w:val="000000"/>
                <w:sz w:val="20"/>
                <w:szCs w:val="20"/>
                <w:lang w:val="uz-Cyrl-UZ" w:eastAsia="ru-RU"/>
              </w:rPr>
              <w:t>)</w:t>
            </w:r>
            <w:r w:rsidR="00ED2396" w:rsidRPr="00ED2396">
              <w:rPr>
                <w:rFonts w:ascii="Times New Roman" w:eastAsia="Times New Roman" w:hAnsi="Times New Roman" w:cs="Times New Roman"/>
                <w:b/>
                <w:color w:val="000000"/>
                <w:sz w:val="20"/>
                <w:szCs w:val="20"/>
                <w:lang w:eastAsia="ru-RU"/>
              </w:rPr>
              <w:t xml:space="preserve"> </w:t>
            </w:r>
            <w:r w:rsidR="00ED2396" w:rsidRPr="009959FB">
              <w:rPr>
                <w:rFonts w:ascii="Times New Roman" w:eastAsia="Times New Roman" w:hAnsi="Times New Roman" w:cs="Times New Roman"/>
                <w:color w:val="000000"/>
                <w:sz w:val="20"/>
                <w:szCs w:val="20"/>
                <w:lang w:eastAsia="ru-RU"/>
              </w:rPr>
              <w:t>сўмни ташкил этади.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ED2396" w:rsidRPr="009959FB" w:rsidRDefault="00ED2396" w:rsidP="009959FB">
            <w:pPr>
              <w:spacing w:after="0" w:line="240" w:lineRule="auto"/>
              <w:jc w:val="both"/>
              <w:rPr>
                <w:rFonts w:ascii="Times New Roman" w:eastAsia="Times New Roman" w:hAnsi="Times New Roman" w:cs="Times New Roman"/>
                <w:color w:val="000000"/>
                <w:sz w:val="24"/>
                <w:szCs w:val="24"/>
                <w:lang w:eastAsia="ru-RU"/>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095"/>
              <w:gridCol w:w="1148"/>
              <w:gridCol w:w="869"/>
              <w:gridCol w:w="1573"/>
              <w:gridCol w:w="603"/>
              <w:gridCol w:w="1607"/>
              <w:gridCol w:w="1385"/>
              <w:gridCol w:w="10"/>
            </w:tblGrid>
            <w:tr w:rsidR="00BB42B5" w:rsidRPr="00BB42B5" w:rsidTr="00BB42B5">
              <w:trPr>
                <w:gridAfter w:val="1"/>
                <w:wAfter w:w="10" w:type="dxa"/>
                <w:trHeight w:val="268"/>
              </w:trPr>
              <w:tc>
                <w:tcPr>
                  <w:tcW w:w="1441" w:type="dxa"/>
                  <w:vMerge w:val="restart"/>
                  <w:shd w:val="clear" w:color="000000" w:fill="FFFFFF"/>
                  <w:vAlign w:val="center"/>
                  <w:hideMark/>
                </w:tcPr>
                <w:p w:rsidR="00ED2396" w:rsidRPr="00BB42B5" w:rsidRDefault="00ED2396" w:rsidP="00ED2396">
                  <w:pPr>
                    <w:spacing w:after="0" w:line="240" w:lineRule="auto"/>
                    <w:ind w:left="68" w:hanging="85"/>
                    <w:jc w:val="center"/>
                    <w:rPr>
                      <w:rFonts w:ascii="Times New Roman" w:hAnsi="Times New Roman" w:cs="Times New Roman"/>
                      <w:b/>
                      <w:bCs/>
                      <w:sz w:val="20"/>
                      <w:szCs w:val="20"/>
                    </w:rPr>
                  </w:pPr>
                  <w:r w:rsidRPr="00BB42B5">
                    <w:rPr>
                      <w:rFonts w:ascii="Times New Roman" w:hAnsi="Times New Roman" w:cs="Times New Roman"/>
                      <w:b/>
                      <w:bCs/>
                      <w:sz w:val="20"/>
                      <w:szCs w:val="20"/>
                    </w:rPr>
                    <w:t>Хизмат курсатиш номлари</w:t>
                  </w:r>
                </w:p>
              </w:tc>
              <w:tc>
                <w:tcPr>
                  <w:tcW w:w="1095" w:type="dxa"/>
                  <w:vMerge w:val="restart"/>
                  <w:shd w:val="clear" w:color="000000" w:fill="FFFFFF"/>
                  <w:vAlign w:val="center"/>
                  <w:hideMark/>
                </w:tcPr>
                <w:p w:rsidR="00ED2396" w:rsidRPr="00BB42B5" w:rsidRDefault="00ED2396" w:rsidP="00BB42B5">
                  <w:pPr>
                    <w:spacing w:after="0" w:line="240" w:lineRule="auto"/>
                    <w:jc w:val="center"/>
                    <w:rPr>
                      <w:rFonts w:ascii="Times New Roman" w:hAnsi="Times New Roman" w:cs="Times New Roman"/>
                      <w:b/>
                      <w:bCs/>
                      <w:sz w:val="20"/>
                      <w:szCs w:val="20"/>
                    </w:rPr>
                  </w:pPr>
                  <w:r w:rsidRPr="00BB42B5">
                    <w:rPr>
                      <w:rFonts w:ascii="Times New Roman" w:hAnsi="Times New Roman" w:cs="Times New Roman"/>
                      <w:b/>
                      <w:bCs/>
                      <w:sz w:val="20"/>
                      <w:szCs w:val="20"/>
                    </w:rPr>
                    <w:t>Ул. бирлиги</w:t>
                  </w:r>
                </w:p>
              </w:tc>
              <w:tc>
                <w:tcPr>
                  <w:tcW w:w="1148" w:type="dxa"/>
                  <w:vMerge w:val="restart"/>
                  <w:shd w:val="clear" w:color="000000" w:fill="FFFFFF"/>
                  <w:vAlign w:val="center"/>
                  <w:hideMark/>
                </w:tcPr>
                <w:p w:rsidR="00ED2396" w:rsidRPr="00BB42B5" w:rsidRDefault="00ED2396" w:rsidP="00BB42B5">
                  <w:pPr>
                    <w:spacing w:after="0" w:line="240" w:lineRule="auto"/>
                    <w:jc w:val="center"/>
                    <w:rPr>
                      <w:rFonts w:ascii="Times New Roman" w:hAnsi="Times New Roman" w:cs="Times New Roman"/>
                      <w:b/>
                      <w:bCs/>
                      <w:sz w:val="20"/>
                      <w:szCs w:val="20"/>
                    </w:rPr>
                  </w:pPr>
                  <w:r w:rsidRPr="00BB42B5">
                    <w:rPr>
                      <w:rFonts w:ascii="Times New Roman" w:hAnsi="Times New Roman" w:cs="Times New Roman"/>
                      <w:b/>
                      <w:bCs/>
                      <w:sz w:val="20"/>
                      <w:szCs w:val="20"/>
                    </w:rPr>
                    <w:t>Микдори</w:t>
                  </w:r>
                </w:p>
              </w:tc>
              <w:tc>
                <w:tcPr>
                  <w:tcW w:w="869" w:type="dxa"/>
                  <w:vMerge w:val="restart"/>
                  <w:shd w:val="clear" w:color="000000" w:fill="FFFFFF"/>
                  <w:vAlign w:val="center"/>
                  <w:hideMark/>
                </w:tcPr>
                <w:p w:rsidR="00ED2396" w:rsidRPr="00BB42B5" w:rsidRDefault="00ED2396" w:rsidP="00ED2396">
                  <w:pPr>
                    <w:spacing w:after="0" w:line="240" w:lineRule="auto"/>
                    <w:ind w:left="68" w:hanging="85"/>
                    <w:jc w:val="center"/>
                    <w:rPr>
                      <w:rFonts w:ascii="Times New Roman" w:hAnsi="Times New Roman" w:cs="Times New Roman"/>
                      <w:b/>
                      <w:bCs/>
                      <w:sz w:val="20"/>
                      <w:szCs w:val="20"/>
                    </w:rPr>
                  </w:pPr>
                  <w:r w:rsidRPr="00BB42B5">
                    <w:rPr>
                      <w:rFonts w:ascii="Times New Roman" w:hAnsi="Times New Roman" w:cs="Times New Roman"/>
                      <w:b/>
                      <w:bCs/>
                      <w:sz w:val="20"/>
                      <w:szCs w:val="20"/>
                    </w:rPr>
                    <w:t>Нархи</w:t>
                  </w:r>
                </w:p>
              </w:tc>
              <w:tc>
                <w:tcPr>
                  <w:tcW w:w="1573" w:type="dxa"/>
                  <w:vMerge w:val="restart"/>
                  <w:shd w:val="clear" w:color="000000" w:fill="FFFFFF"/>
                  <w:vAlign w:val="center"/>
                  <w:hideMark/>
                </w:tcPr>
                <w:p w:rsidR="00ED2396" w:rsidRPr="00BB42B5" w:rsidRDefault="00ED2396" w:rsidP="00ED2396">
                  <w:pPr>
                    <w:spacing w:after="0" w:line="240" w:lineRule="auto"/>
                    <w:ind w:left="68" w:hanging="85"/>
                    <w:jc w:val="center"/>
                    <w:rPr>
                      <w:rFonts w:ascii="Times New Roman" w:hAnsi="Times New Roman" w:cs="Times New Roman"/>
                      <w:b/>
                      <w:bCs/>
                      <w:sz w:val="20"/>
                      <w:szCs w:val="20"/>
                    </w:rPr>
                  </w:pPr>
                  <w:r w:rsidRPr="00BB42B5">
                    <w:rPr>
                      <w:rFonts w:ascii="Times New Roman" w:hAnsi="Times New Roman" w:cs="Times New Roman"/>
                      <w:b/>
                      <w:bCs/>
                      <w:sz w:val="20"/>
                      <w:szCs w:val="20"/>
                    </w:rPr>
                    <w:t>Бажарувчи</w:t>
                  </w:r>
                  <w:r w:rsidR="00BB42B5" w:rsidRPr="00BB42B5">
                    <w:rPr>
                      <w:rFonts w:ascii="Times New Roman" w:hAnsi="Times New Roman" w:cs="Times New Roman"/>
                      <w:b/>
                      <w:bCs/>
                      <w:sz w:val="20"/>
                      <w:szCs w:val="20"/>
                      <w:lang w:val="uz-Cyrl-UZ"/>
                    </w:rPr>
                    <w:t>-</w:t>
                  </w:r>
                  <w:r w:rsidRPr="00BB42B5">
                    <w:rPr>
                      <w:rFonts w:ascii="Times New Roman" w:hAnsi="Times New Roman" w:cs="Times New Roman"/>
                      <w:b/>
                      <w:bCs/>
                      <w:sz w:val="20"/>
                      <w:szCs w:val="20"/>
                    </w:rPr>
                    <w:t>нинг нархи</w:t>
                  </w:r>
                </w:p>
              </w:tc>
              <w:tc>
                <w:tcPr>
                  <w:tcW w:w="2210" w:type="dxa"/>
                  <w:gridSpan w:val="2"/>
                  <w:shd w:val="clear" w:color="000000" w:fill="FFFFFF"/>
                  <w:noWrap/>
                  <w:hideMark/>
                </w:tcPr>
                <w:p w:rsidR="00ED2396" w:rsidRPr="00BB42B5" w:rsidRDefault="00ED2396" w:rsidP="00ED2396">
                  <w:pPr>
                    <w:spacing w:after="0" w:line="240" w:lineRule="auto"/>
                    <w:ind w:left="68" w:hanging="85"/>
                    <w:jc w:val="center"/>
                    <w:rPr>
                      <w:rFonts w:ascii="Times New Roman" w:hAnsi="Times New Roman" w:cs="Times New Roman"/>
                      <w:b/>
                      <w:bCs/>
                      <w:sz w:val="20"/>
                      <w:szCs w:val="20"/>
                    </w:rPr>
                  </w:pPr>
                  <w:r w:rsidRPr="00BB42B5">
                    <w:rPr>
                      <w:rFonts w:ascii="Times New Roman" w:hAnsi="Times New Roman" w:cs="Times New Roman"/>
                      <w:b/>
                      <w:bCs/>
                      <w:sz w:val="20"/>
                      <w:szCs w:val="20"/>
                    </w:rPr>
                    <w:t>ККС</w:t>
                  </w:r>
                </w:p>
              </w:tc>
              <w:tc>
                <w:tcPr>
                  <w:tcW w:w="1385" w:type="dxa"/>
                  <w:vMerge w:val="restart"/>
                  <w:shd w:val="clear" w:color="000000" w:fill="FFFFFF"/>
                  <w:vAlign w:val="center"/>
                  <w:hideMark/>
                </w:tcPr>
                <w:p w:rsidR="00ED2396" w:rsidRPr="00BB42B5" w:rsidRDefault="00ED2396" w:rsidP="00ED2396">
                  <w:pPr>
                    <w:spacing w:after="0" w:line="240" w:lineRule="auto"/>
                    <w:ind w:left="68" w:hanging="85"/>
                    <w:jc w:val="center"/>
                    <w:rPr>
                      <w:rFonts w:ascii="Times New Roman" w:hAnsi="Times New Roman" w:cs="Times New Roman"/>
                      <w:b/>
                      <w:bCs/>
                      <w:sz w:val="20"/>
                      <w:szCs w:val="20"/>
                    </w:rPr>
                  </w:pPr>
                  <w:r w:rsidRPr="00BB42B5">
                    <w:rPr>
                      <w:rFonts w:ascii="Times New Roman" w:hAnsi="Times New Roman" w:cs="Times New Roman"/>
                      <w:b/>
                      <w:bCs/>
                      <w:sz w:val="20"/>
                      <w:szCs w:val="20"/>
                    </w:rPr>
                    <w:t>Жами ККС билан</w:t>
                  </w:r>
                </w:p>
              </w:tc>
            </w:tr>
            <w:tr w:rsidR="00BB42B5" w:rsidRPr="00BB42B5" w:rsidTr="00BB42B5">
              <w:trPr>
                <w:gridAfter w:val="1"/>
                <w:wAfter w:w="10" w:type="dxa"/>
                <w:trHeight w:val="413"/>
              </w:trPr>
              <w:tc>
                <w:tcPr>
                  <w:tcW w:w="1441" w:type="dxa"/>
                  <w:vMerge/>
                  <w:tcBorders>
                    <w:bottom w:val="single" w:sz="4" w:space="0" w:color="auto"/>
                  </w:tcBorders>
                  <w:vAlign w:val="center"/>
                  <w:hideMark/>
                </w:tcPr>
                <w:p w:rsidR="00ED2396" w:rsidRPr="00BB42B5" w:rsidRDefault="00ED2396" w:rsidP="00ED2396">
                  <w:pPr>
                    <w:spacing w:after="0" w:line="240" w:lineRule="auto"/>
                    <w:ind w:left="68" w:hanging="85"/>
                    <w:rPr>
                      <w:rFonts w:ascii="Times New Roman" w:hAnsi="Times New Roman" w:cs="Times New Roman"/>
                      <w:b/>
                      <w:bCs/>
                      <w:sz w:val="20"/>
                      <w:szCs w:val="20"/>
                    </w:rPr>
                  </w:pPr>
                </w:p>
              </w:tc>
              <w:tc>
                <w:tcPr>
                  <w:tcW w:w="1095" w:type="dxa"/>
                  <w:vMerge/>
                  <w:tcBorders>
                    <w:bottom w:val="single" w:sz="4" w:space="0" w:color="auto"/>
                  </w:tcBorders>
                  <w:vAlign w:val="center"/>
                  <w:hideMark/>
                </w:tcPr>
                <w:p w:rsidR="00ED2396" w:rsidRPr="00BB42B5" w:rsidRDefault="00ED2396" w:rsidP="00ED2396">
                  <w:pPr>
                    <w:spacing w:after="0" w:line="240" w:lineRule="auto"/>
                    <w:ind w:left="68" w:hanging="85"/>
                    <w:rPr>
                      <w:rFonts w:ascii="Times New Roman" w:hAnsi="Times New Roman" w:cs="Times New Roman"/>
                      <w:b/>
                      <w:bCs/>
                      <w:sz w:val="20"/>
                      <w:szCs w:val="20"/>
                    </w:rPr>
                  </w:pPr>
                </w:p>
              </w:tc>
              <w:tc>
                <w:tcPr>
                  <w:tcW w:w="1148" w:type="dxa"/>
                  <w:vMerge/>
                  <w:tcBorders>
                    <w:bottom w:val="single" w:sz="4" w:space="0" w:color="auto"/>
                  </w:tcBorders>
                  <w:vAlign w:val="center"/>
                  <w:hideMark/>
                </w:tcPr>
                <w:p w:rsidR="00ED2396" w:rsidRPr="00BB42B5" w:rsidRDefault="00ED2396" w:rsidP="00ED2396">
                  <w:pPr>
                    <w:spacing w:after="0" w:line="240" w:lineRule="auto"/>
                    <w:ind w:left="68" w:hanging="85"/>
                    <w:rPr>
                      <w:rFonts w:ascii="Times New Roman" w:hAnsi="Times New Roman" w:cs="Times New Roman"/>
                      <w:b/>
                      <w:bCs/>
                      <w:sz w:val="20"/>
                      <w:szCs w:val="20"/>
                    </w:rPr>
                  </w:pPr>
                </w:p>
              </w:tc>
              <w:tc>
                <w:tcPr>
                  <w:tcW w:w="869" w:type="dxa"/>
                  <w:vMerge/>
                  <w:tcBorders>
                    <w:bottom w:val="single" w:sz="4" w:space="0" w:color="auto"/>
                  </w:tcBorders>
                  <w:vAlign w:val="center"/>
                  <w:hideMark/>
                </w:tcPr>
                <w:p w:rsidR="00ED2396" w:rsidRPr="00BB42B5" w:rsidRDefault="00ED2396" w:rsidP="00ED2396">
                  <w:pPr>
                    <w:spacing w:after="0" w:line="240" w:lineRule="auto"/>
                    <w:ind w:left="68" w:hanging="85"/>
                    <w:rPr>
                      <w:rFonts w:ascii="Times New Roman" w:hAnsi="Times New Roman" w:cs="Times New Roman"/>
                      <w:b/>
                      <w:bCs/>
                      <w:sz w:val="20"/>
                      <w:szCs w:val="20"/>
                    </w:rPr>
                  </w:pPr>
                </w:p>
              </w:tc>
              <w:tc>
                <w:tcPr>
                  <w:tcW w:w="1573" w:type="dxa"/>
                  <w:vMerge/>
                  <w:tcBorders>
                    <w:bottom w:val="single" w:sz="4" w:space="0" w:color="auto"/>
                  </w:tcBorders>
                  <w:vAlign w:val="center"/>
                  <w:hideMark/>
                </w:tcPr>
                <w:p w:rsidR="00ED2396" w:rsidRPr="00BB42B5" w:rsidRDefault="00ED2396" w:rsidP="00ED2396">
                  <w:pPr>
                    <w:spacing w:after="0" w:line="240" w:lineRule="auto"/>
                    <w:ind w:left="68" w:hanging="85"/>
                    <w:rPr>
                      <w:rFonts w:ascii="Times New Roman" w:hAnsi="Times New Roman" w:cs="Times New Roman"/>
                      <w:b/>
                      <w:bCs/>
                      <w:sz w:val="20"/>
                      <w:szCs w:val="20"/>
                    </w:rPr>
                  </w:pPr>
                </w:p>
              </w:tc>
              <w:tc>
                <w:tcPr>
                  <w:tcW w:w="603" w:type="dxa"/>
                  <w:tcBorders>
                    <w:bottom w:val="single" w:sz="4" w:space="0" w:color="auto"/>
                  </w:tcBorders>
                  <w:shd w:val="clear" w:color="000000" w:fill="FFFFFF"/>
                  <w:noWrap/>
                  <w:vAlign w:val="center"/>
                  <w:hideMark/>
                </w:tcPr>
                <w:p w:rsidR="00ED2396" w:rsidRPr="00BB42B5" w:rsidRDefault="00ED2396" w:rsidP="00ED2396">
                  <w:pPr>
                    <w:spacing w:after="0" w:line="240" w:lineRule="auto"/>
                    <w:ind w:left="68" w:hanging="85"/>
                    <w:jc w:val="center"/>
                    <w:rPr>
                      <w:rFonts w:ascii="Times New Roman" w:hAnsi="Times New Roman" w:cs="Times New Roman"/>
                      <w:b/>
                      <w:bCs/>
                      <w:sz w:val="20"/>
                      <w:szCs w:val="20"/>
                    </w:rPr>
                  </w:pPr>
                  <w:r w:rsidRPr="00BB42B5">
                    <w:rPr>
                      <w:rFonts w:ascii="Times New Roman" w:hAnsi="Times New Roman" w:cs="Times New Roman"/>
                      <w:b/>
                      <w:bCs/>
                      <w:sz w:val="20"/>
                      <w:szCs w:val="20"/>
                    </w:rPr>
                    <w:t>%</w:t>
                  </w:r>
                </w:p>
              </w:tc>
              <w:tc>
                <w:tcPr>
                  <w:tcW w:w="1607" w:type="dxa"/>
                  <w:tcBorders>
                    <w:bottom w:val="single" w:sz="4" w:space="0" w:color="auto"/>
                  </w:tcBorders>
                  <w:shd w:val="clear" w:color="000000" w:fill="FFFFFF"/>
                  <w:noWrap/>
                  <w:vAlign w:val="center"/>
                  <w:hideMark/>
                </w:tcPr>
                <w:p w:rsidR="00ED2396" w:rsidRPr="00BB42B5" w:rsidRDefault="00ED2396" w:rsidP="00ED2396">
                  <w:pPr>
                    <w:spacing w:after="0" w:line="240" w:lineRule="auto"/>
                    <w:ind w:left="68" w:hanging="85"/>
                    <w:jc w:val="center"/>
                    <w:rPr>
                      <w:rFonts w:ascii="Times New Roman" w:hAnsi="Times New Roman" w:cs="Times New Roman"/>
                      <w:b/>
                      <w:bCs/>
                      <w:sz w:val="20"/>
                      <w:szCs w:val="20"/>
                    </w:rPr>
                  </w:pPr>
                  <w:r w:rsidRPr="00BB42B5">
                    <w:rPr>
                      <w:rFonts w:ascii="Times New Roman" w:hAnsi="Times New Roman" w:cs="Times New Roman"/>
                      <w:b/>
                      <w:bCs/>
                      <w:sz w:val="20"/>
                      <w:szCs w:val="20"/>
                    </w:rPr>
                    <w:t>Жами</w:t>
                  </w:r>
                </w:p>
              </w:tc>
              <w:tc>
                <w:tcPr>
                  <w:tcW w:w="1385" w:type="dxa"/>
                  <w:vMerge/>
                  <w:tcBorders>
                    <w:bottom w:val="single" w:sz="4" w:space="0" w:color="auto"/>
                  </w:tcBorders>
                  <w:vAlign w:val="center"/>
                  <w:hideMark/>
                </w:tcPr>
                <w:p w:rsidR="00ED2396" w:rsidRPr="00BB42B5" w:rsidRDefault="00ED2396" w:rsidP="00ED2396">
                  <w:pPr>
                    <w:spacing w:after="0" w:line="240" w:lineRule="auto"/>
                    <w:ind w:left="68" w:hanging="85"/>
                    <w:rPr>
                      <w:rFonts w:ascii="Times New Roman" w:hAnsi="Times New Roman" w:cs="Times New Roman"/>
                      <w:b/>
                      <w:bCs/>
                      <w:sz w:val="20"/>
                      <w:szCs w:val="20"/>
                    </w:rPr>
                  </w:pPr>
                </w:p>
              </w:tc>
            </w:tr>
            <w:tr w:rsidR="00BB42B5" w:rsidRPr="00BB42B5" w:rsidTr="00030C37">
              <w:trPr>
                <w:gridAfter w:val="1"/>
                <w:wAfter w:w="10" w:type="dxa"/>
                <w:trHeight w:val="300"/>
              </w:trPr>
              <w:tc>
                <w:tcPr>
                  <w:tcW w:w="1441" w:type="dxa"/>
                  <w:shd w:val="clear" w:color="000000" w:fill="FFFFFF"/>
                  <w:noWrap/>
                  <w:vAlign w:val="center"/>
                  <w:hideMark/>
                </w:tcPr>
                <w:p w:rsidR="00ED2396" w:rsidRPr="00BB42B5" w:rsidRDefault="00BB42B5" w:rsidP="00BB42B5">
                  <w:pPr>
                    <w:spacing w:after="0" w:line="240" w:lineRule="auto"/>
                    <w:ind w:left="68" w:hanging="85"/>
                    <w:jc w:val="center"/>
                    <w:rPr>
                      <w:rFonts w:ascii="Times New Roman" w:hAnsi="Times New Roman" w:cs="Times New Roman"/>
                      <w:sz w:val="20"/>
                      <w:szCs w:val="20"/>
                      <w:lang w:val="uz-Cyrl-UZ"/>
                    </w:rPr>
                  </w:pPr>
                  <w:r w:rsidRPr="00BB42B5">
                    <w:rPr>
                      <w:rFonts w:ascii="Times New Roman" w:hAnsi="Times New Roman" w:cs="Times New Roman"/>
                      <w:sz w:val="20"/>
                      <w:szCs w:val="20"/>
                      <w:lang w:val="uz-Cyrl-UZ"/>
                    </w:rPr>
                    <w:t>Иссиқ овқат билан таъминлаш хизмати</w:t>
                  </w:r>
                </w:p>
              </w:tc>
              <w:tc>
                <w:tcPr>
                  <w:tcW w:w="1095" w:type="dxa"/>
                  <w:shd w:val="clear" w:color="000000" w:fill="FFFFFF"/>
                  <w:noWrap/>
                  <w:vAlign w:val="center"/>
                  <w:hideMark/>
                </w:tcPr>
                <w:p w:rsidR="00ED2396" w:rsidRPr="00BB42B5" w:rsidRDefault="00BB42B5" w:rsidP="00BB42B5">
                  <w:pPr>
                    <w:spacing w:after="0" w:line="240" w:lineRule="auto"/>
                    <w:ind w:left="68" w:hanging="85"/>
                    <w:jc w:val="center"/>
                    <w:rPr>
                      <w:rFonts w:ascii="Times New Roman" w:hAnsi="Times New Roman" w:cs="Times New Roman"/>
                      <w:sz w:val="20"/>
                      <w:szCs w:val="20"/>
                      <w:lang w:val="uz-Cyrl-UZ"/>
                    </w:rPr>
                  </w:pPr>
                  <w:r w:rsidRPr="00BB42B5">
                    <w:rPr>
                      <w:rFonts w:ascii="Times New Roman" w:hAnsi="Times New Roman" w:cs="Times New Roman"/>
                      <w:sz w:val="20"/>
                      <w:szCs w:val="20"/>
                      <w:lang w:val="uz-Cyrl-UZ"/>
                    </w:rPr>
                    <w:t>Хизмат</w:t>
                  </w:r>
                </w:p>
              </w:tc>
              <w:tc>
                <w:tcPr>
                  <w:tcW w:w="1148" w:type="dxa"/>
                  <w:shd w:val="clear" w:color="000000" w:fill="FFFFFF"/>
                  <w:noWrap/>
                  <w:vAlign w:val="center"/>
                </w:tcPr>
                <w:p w:rsidR="00ED2396" w:rsidRPr="00BB42B5" w:rsidRDefault="00ED2396" w:rsidP="00BB42B5">
                  <w:pPr>
                    <w:spacing w:after="0" w:line="240" w:lineRule="auto"/>
                    <w:ind w:left="68" w:hanging="85"/>
                    <w:jc w:val="center"/>
                    <w:rPr>
                      <w:rFonts w:ascii="Times New Roman" w:hAnsi="Times New Roman" w:cs="Times New Roman"/>
                      <w:sz w:val="20"/>
                      <w:szCs w:val="20"/>
                    </w:rPr>
                  </w:pPr>
                </w:p>
              </w:tc>
              <w:tc>
                <w:tcPr>
                  <w:tcW w:w="869" w:type="dxa"/>
                  <w:shd w:val="clear" w:color="000000" w:fill="FFFFFF"/>
                  <w:noWrap/>
                  <w:vAlign w:val="center"/>
                </w:tcPr>
                <w:p w:rsidR="00ED2396" w:rsidRPr="00BB42B5" w:rsidRDefault="00ED2396" w:rsidP="00BB42B5">
                  <w:pPr>
                    <w:spacing w:after="0" w:line="240" w:lineRule="auto"/>
                    <w:ind w:left="68" w:hanging="85"/>
                    <w:jc w:val="center"/>
                    <w:rPr>
                      <w:rFonts w:ascii="Times New Roman" w:hAnsi="Times New Roman" w:cs="Times New Roman"/>
                      <w:sz w:val="20"/>
                      <w:szCs w:val="20"/>
                    </w:rPr>
                  </w:pPr>
                </w:p>
              </w:tc>
              <w:tc>
                <w:tcPr>
                  <w:tcW w:w="1573" w:type="dxa"/>
                  <w:shd w:val="clear" w:color="000000" w:fill="FFFFFF"/>
                  <w:noWrap/>
                  <w:vAlign w:val="center"/>
                </w:tcPr>
                <w:p w:rsidR="00ED2396" w:rsidRPr="00BB42B5" w:rsidRDefault="00ED2396" w:rsidP="00BB42B5">
                  <w:pPr>
                    <w:spacing w:after="0" w:line="240" w:lineRule="auto"/>
                    <w:ind w:left="68" w:hanging="85"/>
                    <w:jc w:val="center"/>
                    <w:rPr>
                      <w:rFonts w:ascii="Times New Roman" w:hAnsi="Times New Roman" w:cs="Times New Roman"/>
                      <w:sz w:val="20"/>
                      <w:szCs w:val="20"/>
                      <w:lang w:val="uz-Cyrl-UZ"/>
                    </w:rPr>
                  </w:pPr>
                </w:p>
              </w:tc>
              <w:tc>
                <w:tcPr>
                  <w:tcW w:w="603" w:type="dxa"/>
                  <w:shd w:val="clear" w:color="000000" w:fill="FFFFFF"/>
                  <w:noWrap/>
                  <w:vAlign w:val="center"/>
                </w:tcPr>
                <w:p w:rsidR="00ED2396" w:rsidRPr="00BB42B5" w:rsidRDefault="00ED2396" w:rsidP="00BB42B5">
                  <w:pPr>
                    <w:spacing w:after="0" w:line="240" w:lineRule="auto"/>
                    <w:ind w:left="68" w:hanging="85"/>
                    <w:jc w:val="center"/>
                    <w:rPr>
                      <w:rFonts w:ascii="Times New Roman" w:hAnsi="Times New Roman" w:cs="Times New Roman"/>
                      <w:sz w:val="20"/>
                      <w:szCs w:val="20"/>
                    </w:rPr>
                  </w:pPr>
                </w:p>
              </w:tc>
              <w:tc>
                <w:tcPr>
                  <w:tcW w:w="1607" w:type="dxa"/>
                  <w:shd w:val="clear" w:color="000000" w:fill="FFFFFF"/>
                  <w:noWrap/>
                  <w:vAlign w:val="center"/>
                </w:tcPr>
                <w:p w:rsidR="00ED2396" w:rsidRPr="00BB42B5" w:rsidRDefault="00ED2396" w:rsidP="00BB42B5">
                  <w:pPr>
                    <w:spacing w:after="0" w:line="240" w:lineRule="auto"/>
                    <w:ind w:left="68" w:hanging="85"/>
                    <w:jc w:val="center"/>
                    <w:rPr>
                      <w:rFonts w:ascii="Times New Roman" w:hAnsi="Times New Roman" w:cs="Times New Roman"/>
                      <w:sz w:val="20"/>
                      <w:szCs w:val="20"/>
                    </w:rPr>
                  </w:pPr>
                </w:p>
              </w:tc>
              <w:tc>
                <w:tcPr>
                  <w:tcW w:w="1385" w:type="dxa"/>
                  <w:shd w:val="clear" w:color="000000" w:fill="FFFFFF"/>
                  <w:noWrap/>
                  <w:vAlign w:val="center"/>
                </w:tcPr>
                <w:p w:rsidR="00ED2396" w:rsidRPr="00BB42B5" w:rsidRDefault="00ED2396" w:rsidP="00BB42B5">
                  <w:pPr>
                    <w:spacing w:after="0" w:line="240" w:lineRule="auto"/>
                    <w:ind w:left="68" w:hanging="85"/>
                    <w:jc w:val="center"/>
                    <w:rPr>
                      <w:rFonts w:ascii="Times New Roman" w:hAnsi="Times New Roman" w:cs="Times New Roman"/>
                      <w:sz w:val="20"/>
                      <w:szCs w:val="20"/>
                    </w:rPr>
                  </w:pPr>
                </w:p>
              </w:tc>
            </w:tr>
            <w:tr w:rsidR="00BB42B5" w:rsidRPr="000678C3" w:rsidTr="00030C37">
              <w:trPr>
                <w:trHeight w:val="184"/>
              </w:trPr>
              <w:tc>
                <w:tcPr>
                  <w:tcW w:w="8336" w:type="dxa"/>
                  <w:gridSpan w:val="7"/>
                  <w:shd w:val="clear" w:color="000000" w:fill="FFFFFF"/>
                  <w:vAlign w:val="center"/>
                </w:tcPr>
                <w:p w:rsidR="00ED2396" w:rsidRPr="00BB42B5" w:rsidRDefault="00ED2396" w:rsidP="00ED2396">
                  <w:pPr>
                    <w:spacing w:after="0" w:line="240" w:lineRule="auto"/>
                    <w:ind w:left="68" w:hanging="85"/>
                    <w:jc w:val="center"/>
                    <w:rPr>
                      <w:rFonts w:ascii="Times New Roman" w:hAnsi="Times New Roman" w:cs="Times New Roman"/>
                      <w:b/>
                      <w:sz w:val="20"/>
                      <w:szCs w:val="20"/>
                    </w:rPr>
                  </w:pPr>
                  <w:r w:rsidRPr="00BB42B5">
                    <w:rPr>
                      <w:rFonts w:ascii="Times New Roman" w:hAnsi="Times New Roman" w:cs="Times New Roman"/>
                      <w:b/>
                      <w:sz w:val="20"/>
                      <w:szCs w:val="20"/>
                    </w:rPr>
                    <w:t>ИТОГО</w:t>
                  </w:r>
                </w:p>
              </w:tc>
              <w:tc>
                <w:tcPr>
                  <w:tcW w:w="1395" w:type="dxa"/>
                  <w:gridSpan w:val="2"/>
                  <w:shd w:val="clear" w:color="000000" w:fill="FFFFFF"/>
                  <w:noWrap/>
                  <w:vAlign w:val="bottom"/>
                </w:tcPr>
                <w:p w:rsidR="00ED2396" w:rsidRPr="00BB42B5" w:rsidRDefault="00ED2396" w:rsidP="00ED2396">
                  <w:pPr>
                    <w:spacing w:after="0" w:line="240" w:lineRule="auto"/>
                    <w:ind w:left="68" w:hanging="85"/>
                    <w:jc w:val="center"/>
                    <w:rPr>
                      <w:rFonts w:ascii="Times New Roman" w:hAnsi="Times New Roman" w:cs="Times New Roman"/>
                      <w:b/>
                      <w:sz w:val="20"/>
                      <w:szCs w:val="20"/>
                    </w:rPr>
                  </w:pPr>
                </w:p>
              </w:tc>
            </w:tr>
          </w:tbl>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lastRenderedPageBreak/>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IV. Томонларнинг мажбуриятлари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9959FB">
                <w:rPr>
                  <w:rFonts w:ascii="Times New Roman" w:eastAsia="Times New Roman" w:hAnsi="Times New Roman" w:cs="Times New Roman"/>
                  <w:color w:val="008080"/>
                  <w:sz w:val="20"/>
                  <w:lang w:eastAsia="ru-RU"/>
                </w:rPr>
                <w:t>кодекси</w:t>
              </w:r>
            </w:hyperlink>
            <w:r w:rsidRPr="009959FB">
              <w:rPr>
                <w:rFonts w:ascii="Times New Roman" w:eastAsia="Times New Roman" w:hAnsi="Times New Roman" w:cs="Times New Roman"/>
                <w:color w:val="000000"/>
                <w:sz w:val="20"/>
                <w:szCs w:val="20"/>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9959FB">
                <w:rPr>
                  <w:rFonts w:ascii="Times New Roman" w:eastAsia="Times New Roman" w:hAnsi="Times New Roman" w:cs="Times New Roman"/>
                  <w:color w:val="008080"/>
                  <w:sz w:val="20"/>
                  <w:lang w:eastAsia="ru-RU"/>
                </w:rPr>
                <w:t>Қонуни </w:t>
              </w:r>
            </w:hyperlink>
            <w:r w:rsidRPr="009959FB">
              <w:rPr>
                <w:rFonts w:ascii="Times New Roman" w:eastAsia="Times New Roman" w:hAnsi="Times New Roman" w:cs="Times New Roman"/>
                <w:color w:val="000000"/>
                <w:sz w:val="20"/>
                <w:szCs w:val="20"/>
                <w:lang w:eastAsia="ru-RU"/>
              </w:rPr>
              <w:t>ҳамда Ўзбекистон Республикасининг бошқа норматив-ҳуқуқий ҳужжатларида назарда тутилган жавобгар бўладилар.</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 Мунозарали вазиятларни ҳал этиш тартиби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VI. Форс-мажор ҳолатлар</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VII. Якунловчи қоидалар</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VIII. Шартноманинг амал қилиш муддати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9959FB" w:rsidRPr="009959FB" w:rsidTr="00ED2396">
        <w:trPr>
          <w:trHeight w:val="330"/>
        </w:trPr>
        <w:tc>
          <w:tcPr>
            <w:tcW w:w="9965"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IX. Томонларнинг манзили ва банк реквизитлари</w:t>
            </w:r>
          </w:p>
        </w:tc>
      </w:tr>
      <w:tr w:rsidR="00BB42B5" w:rsidRPr="009959FB" w:rsidTr="00ED2396">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«Буюртмачи»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629"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ED2396">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4629"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ED2396">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4629" w:type="dxa"/>
            <w:shd w:val="clear" w:color="auto" w:fill="FFFFFF"/>
            <w:vAlign w:val="center"/>
            <w:hideMark/>
          </w:tcPr>
          <w:p w:rsidR="009959FB" w:rsidRPr="009959FB" w:rsidRDefault="009959FB" w:rsidP="009959FB">
            <w:pPr>
              <w:spacing w:after="0" w:line="240" w:lineRule="auto"/>
              <w:jc w:val="both"/>
              <w:rPr>
                <w:rFonts w:ascii="Times New Roman" w:eastAsia="Times New Roman" w:hAnsi="Times New Roman" w:cs="Times New Roman"/>
                <w:sz w:val="20"/>
                <w:szCs w:val="20"/>
                <w:lang w:eastAsia="ru-RU"/>
              </w:rPr>
            </w:pPr>
            <w:bookmarkStart w:id="0" w:name="_GoBack"/>
            <w:bookmarkEnd w:id="0"/>
          </w:p>
        </w:tc>
      </w:tr>
    </w:tbl>
    <w:p w:rsidR="00294963" w:rsidRDefault="00294963" w:rsidP="009959FB">
      <w:pPr>
        <w:jc w:val="both"/>
      </w:pPr>
    </w:p>
    <w:sectPr w:rsidR="00294963" w:rsidSect="009959FB">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2"/>
  </w:compat>
  <w:rsids>
    <w:rsidRoot w:val="009959FB"/>
    <w:rsid w:val="00030C37"/>
    <w:rsid w:val="00090D85"/>
    <w:rsid w:val="00294963"/>
    <w:rsid w:val="009959FB"/>
    <w:rsid w:val="00BB42B5"/>
    <w:rsid w:val="00ED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5D28"/>
  <w15:docId w15:val="{42E2718F-9F0C-4326-8746-BE3E995E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9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9FB"/>
    <w:rPr>
      <w:b/>
      <w:bCs/>
    </w:rPr>
  </w:style>
  <w:style w:type="character" w:styleId="a5">
    <w:name w:val="Hyperlink"/>
    <w:basedOn w:val="a0"/>
    <w:uiPriority w:val="99"/>
    <w:semiHidden/>
    <w:unhideWhenUsed/>
    <w:rsid w:val="00995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1648</Words>
  <Characters>9395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XTreme.ws</cp:lastModifiedBy>
  <cp:revision>5</cp:revision>
  <cp:lastPrinted>2022-03-28T11:11:00Z</cp:lastPrinted>
  <dcterms:created xsi:type="dcterms:W3CDTF">2022-02-01T08:48:00Z</dcterms:created>
  <dcterms:modified xsi:type="dcterms:W3CDTF">2022-04-19T14:04:00Z</dcterms:modified>
</cp:coreProperties>
</file>