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869"/>
        <w:gridCol w:w="135"/>
        <w:gridCol w:w="387"/>
        <w:gridCol w:w="135"/>
        <w:gridCol w:w="249"/>
        <w:gridCol w:w="529"/>
        <w:gridCol w:w="222"/>
        <w:gridCol w:w="992"/>
        <w:gridCol w:w="91"/>
        <w:gridCol w:w="2746"/>
        <w:gridCol w:w="178"/>
        <w:gridCol w:w="815"/>
        <w:gridCol w:w="135"/>
        <w:gridCol w:w="291"/>
        <w:gridCol w:w="147"/>
        <w:gridCol w:w="340"/>
        <w:gridCol w:w="1214"/>
        <w:gridCol w:w="91"/>
        <w:gridCol w:w="3739"/>
      </w:tblGrid>
      <w:tr w:rsidR="00A84834" w:rsidRPr="000678C3" w:rsidTr="00083619">
        <w:trPr>
          <w:gridAfter w:val="8"/>
          <w:wAfter w:w="6772" w:type="dxa"/>
          <w:trHeight w:val="330"/>
        </w:trPr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A8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r w:rsidR="0015238D"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33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</w:t>
            </w:r>
          </w:p>
          <w:p w:rsidR="00A84834" w:rsidRPr="000678C3" w:rsidRDefault="00B31ADA" w:rsidP="00A8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z-Latn-UZ"/>
              </w:rPr>
              <w:t>қ овқат тайёрлаш</w:t>
            </w:r>
            <w:r w:rsidR="00A84834"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>хизмат</w:t>
            </w:r>
            <w:proofErr w:type="spellEnd"/>
            <w:r w:rsidR="00A84834"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>курсатиш</w:t>
            </w:r>
            <w:proofErr w:type="spellEnd"/>
            <w:r w:rsidR="00B25A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лот </w:t>
            </w:r>
            <w:r w:rsidR="00B91A21"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шаҳри 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A8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E44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3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84834" w:rsidRPr="000678C3" w:rsidRDefault="00332EC3" w:rsidP="0034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«БАЖАРУВЧИ»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деб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номланади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низом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ишлайдиган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унинг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номидан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бошка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томондан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31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«БУЮРТМАЧИ»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деб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юритилади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низом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ишлайдиган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53A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4731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шарномани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туздилар</w:t>
            </w:r>
            <w:proofErr w:type="spellEnd"/>
            <w:r w:rsidR="00A84834" w:rsidRPr="0006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предмети</w:t>
            </w:r>
            <w:proofErr w:type="spellEnd"/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B31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«БУЮРТМАЧИ»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курсатма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беради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«БАЖАРУВЧИ»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шартнома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9CB">
              <w:rPr>
                <w:rFonts w:ascii="Times New Roman" w:hAnsi="Times New Roman" w:cs="Times New Roman"/>
                <w:sz w:val="24"/>
                <w:szCs w:val="24"/>
              </w:rPr>
              <w:t>яъни</w:t>
            </w:r>
            <w:proofErr w:type="spellEnd"/>
            <w:r w:rsidR="00494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ADA">
              <w:rPr>
                <w:rFonts w:ascii="Times New Roman" w:hAnsi="Times New Roman" w:cs="Times New Roman"/>
                <w:i/>
                <w:sz w:val="24"/>
                <w:szCs w:val="24"/>
              </w:rPr>
              <w:t>Ози</w:t>
            </w:r>
            <w:proofErr w:type="spellEnd"/>
            <w:r w:rsidR="00B31ADA">
              <w:rPr>
                <w:rFonts w:ascii="Times New Roman" w:hAnsi="Times New Roman" w:cs="Times New Roman"/>
                <w:i/>
                <w:sz w:val="24"/>
                <w:szCs w:val="24"/>
                <w:lang w:val="uz-Latn-UZ"/>
              </w:rPr>
              <w:t>қ овқат тайёрлаш</w:t>
            </w:r>
            <w:r w:rsidR="00B31ADA"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31ADA"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>хизмат</w:t>
            </w:r>
            <w:proofErr w:type="spellEnd"/>
            <w:r w:rsidR="00B31ADA" w:rsidRPr="0006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амалга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ошириш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мажбуриятини</w:t>
            </w:r>
            <w:proofErr w:type="spellEnd"/>
            <w:r w:rsidR="004949CB">
              <w:rPr>
                <w:rFonts w:ascii="Times New Roman" w:hAnsi="Times New Roman" w:cs="Times New Roman"/>
                <w:sz w:val="24"/>
                <w:szCs w:val="24"/>
              </w:rPr>
              <w:t xml:space="preserve"> уз </w:t>
            </w:r>
            <w:proofErr w:type="spellStart"/>
            <w:r w:rsidR="004949CB">
              <w:rPr>
                <w:rFonts w:ascii="Times New Roman" w:hAnsi="Times New Roman" w:cs="Times New Roman"/>
                <w:sz w:val="24"/>
                <w:szCs w:val="24"/>
              </w:rPr>
              <w:t>зиммасига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олади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F12FCD" w:rsidP="0034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834" w:rsidRPr="000678C3" w:rsidTr="00083619">
        <w:trPr>
          <w:gridAfter w:val="7"/>
          <w:wAfter w:w="5957" w:type="dxa"/>
          <w:trHeight w:val="330"/>
        </w:trPr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F12FCD" w:rsidP="00347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3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гача</w:t>
            </w:r>
            <w:proofErr w:type="spellEnd"/>
            <w:r w:rsidR="00A84834"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84834" w:rsidRPr="000678C3" w:rsidRDefault="00A84834" w:rsidP="00152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619" w:rsidRPr="000678C3" w:rsidTr="00083619">
        <w:trPr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Pr="00A84834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Бажарилган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«БУЮРТМАЧИ»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шартнома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«БАЖАРУВЧИ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B69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аванс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туловини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9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бажарилган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далолатномасини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этганидан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тулайди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йиғма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ҳисоб-фактура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«БУЮРТМАЧИ» «БАЖАРУВЧИ</w:t>
            </w:r>
            <w:proofErr w:type="gram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ҳисоб-рақамига пул маблағлари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ўтказгандан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ҳисобланади.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ҳуқ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мажбуриятлари</w:t>
            </w:r>
            <w:proofErr w:type="spellEnd"/>
          </w:p>
        </w:tc>
      </w:tr>
      <w:tr w:rsidR="00083619" w:rsidRPr="000678C3" w:rsidTr="00083619">
        <w:trPr>
          <w:gridAfter w:val="12"/>
          <w:wAfter w:w="10779" w:type="dxa"/>
          <w:trHeight w:val="330"/>
        </w:trPr>
        <w:tc>
          <w:tcPr>
            <w:tcW w:w="552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қуйидаги ҳуқ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қларга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мол-мулкдан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ташқи қисмида техник жиҳатдан жиҳозлаш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таннархининг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муносабати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таклифи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чиқиш;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вақтида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тўловлар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қилиш;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натижасида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2.1.6.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қилиш;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 Қонун ҳужжатларига мувофиқ бошқа ҳуқ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қлар.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83619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2.1.8.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даражасида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2171" w:rsidRDefault="009A2171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Чойшаблар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тупламдан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чоракнинг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2171" w:rsidRPr="000678C3" w:rsidRDefault="009A2171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2.1.10. </w:t>
            </w:r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дона миқдорда </w:t>
            </w:r>
            <w:proofErr w:type="spellStart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замонавий</w:t>
            </w:r>
            <w:proofErr w:type="spellEnd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қуритиш </w:t>
            </w:r>
            <w:proofErr w:type="spellStart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жавонлари</w:t>
            </w:r>
            <w:proofErr w:type="spellEnd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ўрнатилиши</w:t>
            </w:r>
            <w:proofErr w:type="spellEnd"/>
            <w:r w:rsidRPr="009A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кирганнан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кейин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ичида</w:t>
            </w:r>
            <w:proofErr w:type="spellEnd"/>
            <w:r w:rsidR="00C3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қуйидагиларга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жиҳозлардан мақсадли ҳамда оқилона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сақлаши,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ҳолга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келганда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ҳисобидан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кабул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килиш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топшириш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бажарилади</w:t>
            </w:r>
            <w:proofErr w:type="gramStart"/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қопла</w:t>
            </w:r>
            <w:r w:rsidR="00466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2.2.2. Кир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техника, ёнғин, меҳнат муҳофазаси ҳамда санитария қоидалари,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қатъий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2.2.3. Кир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ювиш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соатдан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соатгача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кирни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куритиш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дазмол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килиш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йиртик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кирларни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бутлаш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матрасларни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химчистка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ердамида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тозалаш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Махфийлик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қатъий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қилиши;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илиш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ҳақида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огоҳлантириш,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тугагунига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қадар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узлуксиз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2.2.6.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1.1.-бандида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ўлиқ ҳажмда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2.2.7.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жараёнида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қилмасдан,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ёмонлашувига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давомида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бепул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тўғрилаши;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2.2.8.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сифатсизлиги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вақтинча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бериладиган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ҳолати,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санитария қоидаларига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аниқланганда,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аниқланган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қонуний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2.2.9.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Малакали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тажрибали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қўйилган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вазифани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ҳуқ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қини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ҳужжатлари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мавжуд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тиббий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текширувдан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кўрикдан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ҳолларда)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жараёнига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рухсат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2.2.10.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ҳудудида одоб-ахлоқ қоидаларига,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қилиш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шахсан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учинчи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шахсга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доирасида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вақтинча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топширилган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жиҳозлар,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идишлар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бошқалар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ҳолда сақлаши,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шунингдек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таъмирлаши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имзолайдиган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қабул қилиш-топшириш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ҳолда,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жиҳозларни,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бошқалар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қабул қилиб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илиш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ҳақида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огоҳлантириши,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тугагунига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қадар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узлуксиз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таъминлаши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ўқитишни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малакасини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ҳолларда);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2.2.16. Қонун ҳужжатларига мувофиқ 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қуйидаги ҳуқ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қларга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чиқарилиши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кўрсатилиши</w:t>
            </w:r>
            <w:proofErr w:type="spellEnd"/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қилиш;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</w:t>
            </w:r>
            <w:proofErr w:type="gram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аралашмаган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ҳолда,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бажарилишини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назорат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қилиш;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қилиш тўғрисида 10 кун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</w:t>
            </w:r>
            <w:proofErr w:type="gram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огоҳлантириш, бунда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қийматини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2.3.4. Қонун ҳужжатларига мувофиқ бошқа ҳуқ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қлар.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қуйидагиларга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йиғма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ҳисоб-фактура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ҳақини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</w:t>
            </w:r>
            <w:proofErr w:type="gram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доирасида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жиҳозларни,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вақтинча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фойдаланишга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2.4.3. Қонун ҳужжатларига мувофиқ 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4"/>
          <w:wAfter w:w="5384" w:type="dxa"/>
          <w:trHeight w:val="330"/>
        </w:trPr>
        <w:tc>
          <w:tcPr>
            <w:tcW w:w="109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ўзаро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ҳисоб-китоблар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тартиби</w:t>
            </w:r>
            <w:proofErr w:type="spellEnd"/>
          </w:p>
        </w:tc>
      </w:tr>
      <w:tr w:rsidR="00083619" w:rsidRPr="000678C3" w:rsidTr="00083619">
        <w:trPr>
          <w:gridAfter w:val="5"/>
          <w:wAfter w:w="5531" w:type="dxa"/>
          <w:trHeight w:val="33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иловасига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мувофиқ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1A21">
              <w:rPr>
                <w:rFonts w:ascii="Times New Roman" w:hAnsi="Times New Roman" w:cs="Times New Roman"/>
              </w:rPr>
              <w:t>______________________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ККС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9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сўмни</w:t>
            </w:r>
            <w:proofErr w:type="spellEnd"/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619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93"/>
              <w:gridCol w:w="785"/>
              <w:gridCol w:w="1389"/>
              <w:gridCol w:w="1020"/>
              <w:gridCol w:w="1844"/>
              <w:gridCol w:w="684"/>
              <w:gridCol w:w="1500"/>
              <w:gridCol w:w="109"/>
              <w:gridCol w:w="1937"/>
              <w:gridCol w:w="12"/>
            </w:tblGrid>
            <w:tr w:rsidR="00083619" w:rsidRPr="000678C3" w:rsidTr="00F12FCD">
              <w:trPr>
                <w:gridAfter w:val="1"/>
                <w:wAfter w:w="12" w:type="dxa"/>
                <w:trHeight w:val="345"/>
              </w:trPr>
              <w:tc>
                <w:tcPr>
                  <w:tcW w:w="1593" w:type="dxa"/>
                  <w:vMerge w:val="restart"/>
                  <w:shd w:val="clear" w:color="000000" w:fill="FFFFFF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Хизмат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курсатиш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номлари</w:t>
                  </w:r>
                  <w:proofErr w:type="spellEnd"/>
                </w:p>
              </w:tc>
              <w:tc>
                <w:tcPr>
                  <w:tcW w:w="785" w:type="dxa"/>
                  <w:vMerge w:val="restart"/>
                  <w:shd w:val="clear" w:color="000000" w:fill="FFFFFF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Ул.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бирлиги</w:t>
                  </w:r>
                  <w:proofErr w:type="spellEnd"/>
                </w:p>
              </w:tc>
              <w:tc>
                <w:tcPr>
                  <w:tcW w:w="1389" w:type="dxa"/>
                  <w:vMerge w:val="restart"/>
                  <w:shd w:val="clear" w:color="000000" w:fill="FFFFFF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Микдори</w:t>
                  </w:r>
                  <w:proofErr w:type="spellEnd"/>
                </w:p>
              </w:tc>
              <w:tc>
                <w:tcPr>
                  <w:tcW w:w="1020" w:type="dxa"/>
                  <w:vMerge w:val="restart"/>
                  <w:shd w:val="clear" w:color="000000" w:fill="FFFFFF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Нархи</w:t>
                  </w:r>
                  <w:proofErr w:type="spellEnd"/>
                </w:p>
              </w:tc>
              <w:tc>
                <w:tcPr>
                  <w:tcW w:w="1844" w:type="dxa"/>
                  <w:vMerge w:val="restart"/>
                  <w:shd w:val="clear" w:color="000000" w:fill="FFFFFF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Бажарувчининг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нархи</w:t>
                  </w:r>
                  <w:proofErr w:type="spellEnd"/>
                </w:p>
              </w:tc>
              <w:tc>
                <w:tcPr>
                  <w:tcW w:w="2184" w:type="dxa"/>
                  <w:gridSpan w:val="2"/>
                  <w:shd w:val="clear" w:color="000000" w:fill="FFFFFF"/>
                  <w:noWrap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ККС</w:t>
                  </w:r>
                </w:p>
              </w:tc>
              <w:tc>
                <w:tcPr>
                  <w:tcW w:w="2046" w:type="dxa"/>
                  <w:gridSpan w:val="2"/>
                  <w:shd w:val="clear" w:color="000000" w:fill="FFFFFF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Жами</w:t>
                  </w:r>
                  <w:proofErr w:type="spellEnd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 xml:space="preserve"> ККС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билан</w:t>
                  </w:r>
                  <w:proofErr w:type="spellEnd"/>
                </w:p>
              </w:tc>
            </w:tr>
            <w:tr w:rsidR="00083619" w:rsidRPr="000678C3" w:rsidTr="00F12FCD">
              <w:trPr>
                <w:gridAfter w:val="1"/>
                <w:wAfter w:w="12" w:type="dxa"/>
                <w:trHeight w:val="570"/>
              </w:trPr>
              <w:tc>
                <w:tcPr>
                  <w:tcW w:w="1593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85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89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0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4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84" w:type="dxa"/>
                  <w:vMerge w:val="restart"/>
                  <w:shd w:val="clear" w:color="000000" w:fill="FFFFFF"/>
                  <w:noWrap/>
                  <w:textDirection w:val="tbRl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1500" w:type="dxa"/>
                  <w:vMerge w:val="restart"/>
                  <w:shd w:val="clear" w:color="000000" w:fill="FFFFFF"/>
                  <w:noWrap/>
                  <w:textDirection w:val="tbRl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678C3">
                    <w:rPr>
                      <w:rFonts w:ascii="Times New Roman" w:hAnsi="Times New Roman" w:cs="Times New Roman"/>
                      <w:b/>
                      <w:bCs/>
                    </w:rPr>
                    <w:t>Жами</w:t>
                  </w:r>
                  <w:proofErr w:type="spellEnd"/>
                </w:p>
              </w:tc>
              <w:tc>
                <w:tcPr>
                  <w:tcW w:w="2046" w:type="dxa"/>
                  <w:gridSpan w:val="2"/>
                  <w:vMerge w:val="restart"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83619" w:rsidRPr="000678C3" w:rsidTr="00F12FCD">
              <w:trPr>
                <w:gridAfter w:val="1"/>
                <w:wAfter w:w="12" w:type="dxa"/>
                <w:trHeight w:val="450"/>
              </w:trPr>
              <w:tc>
                <w:tcPr>
                  <w:tcW w:w="1593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85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89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020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4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84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00" w:type="dxa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046" w:type="dxa"/>
                  <w:gridSpan w:val="2"/>
                  <w:vMerge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83619" w:rsidRPr="000678C3" w:rsidTr="003378E0">
              <w:trPr>
                <w:gridAfter w:val="1"/>
                <w:wAfter w:w="12" w:type="dxa"/>
                <w:trHeight w:val="300"/>
              </w:trPr>
              <w:tc>
                <w:tcPr>
                  <w:tcW w:w="1593" w:type="dxa"/>
                  <w:shd w:val="clear" w:color="000000" w:fill="FFFFFF"/>
                  <w:noWrap/>
                  <w:vAlign w:val="bottom"/>
                  <w:hideMark/>
                </w:tcPr>
                <w:p w:rsidR="00083619" w:rsidRPr="000678C3" w:rsidRDefault="00B31ADA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Ози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z-Latn-UZ"/>
                    </w:rPr>
                    <w:t>қ овқат тайёрлаш</w:t>
                  </w:r>
                  <w:r w:rsidRPr="000678C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678C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хизмат</w:t>
                  </w:r>
                  <w:proofErr w:type="spellEnd"/>
                </w:p>
              </w:tc>
              <w:tc>
                <w:tcPr>
                  <w:tcW w:w="785" w:type="dxa"/>
                  <w:shd w:val="clear" w:color="000000" w:fill="FFFFFF"/>
                  <w:noWrap/>
                  <w:vAlign w:val="bottom"/>
                  <w:hideMark/>
                </w:tcPr>
                <w:p w:rsidR="00083619" w:rsidRPr="00B31ADA" w:rsidRDefault="00B31ADA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  <w:lang w:val="uz-Latn-UZ"/>
                    </w:rPr>
                  </w:pPr>
                  <w:r>
                    <w:rPr>
                      <w:rFonts w:ascii="Times New Roman" w:hAnsi="Times New Roman" w:cs="Times New Roman"/>
                      <w:lang w:val="uz-Latn-UZ"/>
                    </w:rPr>
                    <w:t>порция</w:t>
                  </w:r>
                </w:p>
              </w:tc>
              <w:tc>
                <w:tcPr>
                  <w:tcW w:w="1389" w:type="dxa"/>
                  <w:shd w:val="clear" w:color="000000" w:fill="FFFFFF"/>
                  <w:noWrap/>
                  <w:vAlign w:val="bottom"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  <w:shd w:val="clear" w:color="000000" w:fill="FFFFFF"/>
                  <w:noWrap/>
                  <w:vAlign w:val="bottom"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4" w:type="dxa"/>
                  <w:shd w:val="clear" w:color="000000" w:fill="FFFFFF"/>
                  <w:noWrap/>
                  <w:vAlign w:val="bottom"/>
                </w:tcPr>
                <w:p w:rsidR="00083619" w:rsidRPr="000678C3" w:rsidRDefault="00083619" w:rsidP="00F12FCD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4" w:type="dxa"/>
                  <w:shd w:val="clear" w:color="000000" w:fill="FFFFFF"/>
                  <w:noWrap/>
                  <w:vAlign w:val="bottom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0678C3">
                    <w:rPr>
                      <w:rFonts w:ascii="Times New Roman" w:hAnsi="Times New Roman" w:cs="Times New Roman"/>
                    </w:rPr>
                    <w:t>15%</w:t>
                  </w:r>
                </w:p>
              </w:tc>
              <w:tc>
                <w:tcPr>
                  <w:tcW w:w="1500" w:type="dxa"/>
                  <w:shd w:val="clear" w:color="000000" w:fill="FFFFFF"/>
                  <w:noWrap/>
                  <w:vAlign w:val="bottom"/>
                </w:tcPr>
                <w:p w:rsidR="00083619" w:rsidRPr="000678C3" w:rsidRDefault="00083619" w:rsidP="00F12FCD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6" w:type="dxa"/>
                  <w:gridSpan w:val="2"/>
                  <w:shd w:val="clear" w:color="000000" w:fill="FFFFFF"/>
                  <w:noWrap/>
                  <w:vAlign w:val="bottom"/>
                </w:tcPr>
                <w:p w:rsidR="00083619" w:rsidRPr="000678C3" w:rsidRDefault="00083619" w:rsidP="00E445B3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3619" w:rsidRPr="000678C3" w:rsidTr="00F12FCD">
              <w:trPr>
                <w:trHeight w:val="585"/>
              </w:trPr>
              <w:tc>
                <w:tcPr>
                  <w:tcW w:w="8924" w:type="dxa"/>
                  <w:gridSpan w:val="8"/>
                  <w:shd w:val="clear" w:color="000000" w:fill="FFFFFF"/>
                  <w:vAlign w:val="center"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0678C3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949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083619" w:rsidRPr="000678C3" w:rsidRDefault="00083619" w:rsidP="00083619">
                  <w:pPr>
                    <w:ind w:left="68" w:hanging="8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83619" w:rsidRPr="000678C3" w:rsidRDefault="00083619" w:rsidP="00083619">
            <w:pPr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3.2.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ўзаро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ҳисоб-китоблар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йиғма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ҳисоб-фактура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қиймати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Кўрсатиладиган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ҳақидаги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маълумотлар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мувофиқ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биргаликда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тўланиши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лозим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имзоланадиган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йиғма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ҳисоб-фактура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ҳисоб-фактура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вақтдан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10 банк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давомида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ортиқ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миқдорда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тўланади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ҳисоблаш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ташаббуси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қайта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чиқилади.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мажбуриятлари</w:t>
            </w:r>
            <w:proofErr w:type="spellEnd"/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«БАЖАРУВЧИ»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вақтида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ҳолларда,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қисмининг 0,5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миқдорида пеня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тўлайди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бунда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умумий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Буютмачи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керак</w:t>
            </w:r>
            <w:proofErr w:type="spellEnd"/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Пеня (жарима)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тўлаш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зиммасидаги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бузилишларни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қилишдан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озод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этмайди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шартларининг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даражада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бажарилмаслиги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Фуқаролик </w:t>
            </w:r>
            <w:hyperlink r:id="rId5" w:history="1">
              <w:r w:rsidRPr="000678C3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кодекси</w:t>
              </w:r>
            </w:hyperlink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талабларида, «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Хўжалик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юритувчи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шартномавий-ҳуқ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қий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тўғрисида»ги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" w:history="1">
              <w:r w:rsidRPr="000678C3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Қонуни </w:t>
              </w:r>
            </w:hyperlink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ҳамда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бошқа норматив-ҳуқуқий ҳужжатларида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бўладилар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чоракда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маротаба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кўрсатилаётган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хизматларнинг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ҳолатини мониторинг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аутсорсернинг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фаолиятига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аралашмаган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ҳолда)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шароитлар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тутилмаган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жавобгарлик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ҳудудида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фуқаролик қонунчилиги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мувофиқ қўлланилади.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Мунозарали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вазиятларни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ҳал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тартиби</w:t>
            </w:r>
            <w:proofErr w:type="spellEnd"/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имкон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қадар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музокара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ҳал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ўртасида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музокара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ўтказиш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йўли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ҳал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бўлмайдиган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ҳолатларда,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қонунчилигида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келишмовчиликларни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бартараф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қилиш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тартиб-таомили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оширилгандан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қонунчилигида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тартибда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чиқиш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туманлараро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иктисодий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VI. Форс-мажор ҳолатлар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қисман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тўлиқ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бажарилмаганлиги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бундай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ҳолатлар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бўлмас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куч,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яъни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офатлар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табиий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техноген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фавқулодда ҳолатлар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алоҳида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оқибати ҳисобланса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тасдиқланса,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жавобгарликдан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озод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қилинади. Бунда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мутаносиб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равишда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ҳодисалар </w:t>
            </w:r>
            <w:proofErr w:type="spellStart"/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ўй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Якунловчи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қоидалар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 Ушбу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ҳар қандай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қўшимчалар фақат улар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расмийлаштирилиб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вакиллари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имзолангандан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ҳақиқий ҳисобланади.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иловалари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ажралмас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қисмини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ҳеч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бўйича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ҳуқ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ёзма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шаклдаги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розилигисиз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бирор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учинчи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юбориши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мумкин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эмас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 Ушбу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Иккала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ўлиб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хил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ҳар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бирида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мазкур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нусхаси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VIII.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қилиш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</w:p>
        </w:tc>
      </w:tr>
      <w:tr w:rsidR="00083619" w:rsidRPr="000678C3" w:rsidTr="00083619">
        <w:trPr>
          <w:gridAfter w:val="7"/>
          <w:wAfter w:w="5957" w:type="dxa"/>
          <w:trHeight w:val="33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C4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 Ушбу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имзоланган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пайтдан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кучга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C4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декабрьгача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килади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619" w:rsidRPr="000678C3" w:rsidTr="00083619">
        <w:trPr>
          <w:gridAfter w:val="8"/>
          <w:wAfter w:w="6772" w:type="dxa"/>
          <w:trHeight w:val="330"/>
        </w:trPr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3619" w:rsidRPr="000678C3" w:rsidRDefault="00083619" w:rsidP="0008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IX.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банк</w:t>
            </w:r>
            <w:proofErr w:type="gramEnd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реквизитлари</w:t>
            </w:r>
            <w:proofErr w:type="spellEnd"/>
          </w:p>
        </w:tc>
      </w:tr>
      <w:tr w:rsidR="00083619" w:rsidRPr="000678C3" w:rsidTr="00083619">
        <w:tblPrEx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After w:val="9"/>
          <w:wAfter w:w="6950" w:type="dxa"/>
          <w:trHeight w:val="889"/>
        </w:trPr>
        <w:tc>
          <w:tcPr>
            <w:tcW w:w="4775" w:type="dxa"/>
            <w:gridSpan w:val="5"/>
          </w:tcPr>
          <w:p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678C3">
              <w:rPr>
                <w:rFonts w:ascii="Times New Roman" w:hAnsi="Times New Roman" w:cs="Times New Roman"/>
                <w:b/>
                <w:sz w:val="24"/>
                <w:szCs w:val="24"/>
              </w:rPr>
              <w:t>БАЖАРУВЧИ</w:t>
            </w:r>
          </w:p>
          <w:p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83619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32EC3" w:rsidRPr="000678C3" w:rsidRDefault="00332EC3" w:rsidP="00083619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Директор _________________</w:t>
            </w:r>
          </w:p>
        </w:tc>
        <w:tc>
          <w:tcPr>
            <w:tcW w:w="4580" w:type="dxa"/>
            <w:gridSpan w:val="5"/>
          </w:tcPr>
          <w:p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C3">
              <w:rPr>
                <w:rFonts w:ascii="Times New Roman" w:hAnsi="Times New Roman" w:cs="Times New Roman"/>
                <w:b/>
                <w:sz w:val="24"/>
                <w:szCs w:val="24"/>
              </w:rPr>
              <w:t>БУЮРТМАЧИ</w:t>
            </w: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3F" w:rsidRDefault="005F623F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3F" w:rsidRPr="000678C3" w:rsidRDefault="005F623F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0836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19" w:rsidRPr="000678C3" w:rsidRDefault="00083619" w:rsidP="00C45D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>Рахбар</w:t>
            </w:r>
            <w:proofErr w:type="spellEnd"/>
            <w:r w:rsidRPr="000678C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</w:tc>
      </w:tr>
    </w:tbl>
    <w:p w:rsidR="0053707A" w:rsidRDefault="0053707A">
      <w:pPr>
        <w:rPr>
          <w:sz w:val="24"/>
          <w:szCs w:val="24"/>
        </w:rPr>
      </w:pPr>
    </w:p>
    <w:p w:rsidR="00C52EBD" w:rsidRPr="00A84834" w:rsidRDefault="00C52EBD">
      <w:pPr>
        <w:rPr>
          <w:sz w:val="24"/>
          <w:szCs w:val="24"/>
        </w:rPr>
      </w:pPr>
    </w:p>
    <w:sectPr w:rsidR="00C52EBD" w:rsidRPr="00A84834" w:rsidSect="00B7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21B4"/>
    <w:multiLevelType w:val="multilevel"/>
    <w:tmpl w:val="AC0CC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4834"/>
    <w:rsid w:val="000678C3"/>
    <w:rsid w:val="00083619"/>
    <w:rsid w:val="000F2949"/>
    <w:rsid w:val="001053A1"/>
    <w:rsid w:val="0015238D"/>
    <w:rsid w:val="001F0D32"/>
    <w:rsid w:val="0023338B"/>
    <w:rsid w:val="002450B0"/>
    <w:rsid w:val="0032100F"/>
    <w:rsid w:val="00332EC3"/>
    <w:rsid w:val="003378E0"/>
    <w:rsid w:val="00347319"/>
    <w:rsid w:val="00354683"/>
    <w:rsid w:val="0046636A"/>
    <w:rsid w:val="004949CB"/>
    <w:rsid w:val="0050550E"/>
    <w:rsid w:val="0053707A"/>
    <w:rsid w:val="00545EDF"/>
    <w:rsid w:val="005F134B"/>
    <w:rsid w:val="005F1C17"/>
    <w:rsid w:val="005F623F"/>
    <w:rsid w:val="00607314"/>
    <w:rsid w:val="00617AC8"/>
    <w:rsid w:val="00753FDD"/>
    <w:rsid w:val="007C5932"/>
    <w:rsid w:val="00812A4F"/>
    <w:rsid w:val="00865F9C"/>
    <w:rsid w:val="009A2171"/>
    <w:rsid w:val="009B6925"/>
    <w:rsid w:val="009C081B"/>
    <w:rsid w:val="009E1BAB"/>
    <w:rsid w:val="00A84834"/>
    <w:rsid w:val="00AF2876"/>
    <w:rsid w:val="00B0003B"/>
    <w:rsid w:val="00B25A8C"/>
    <w:rsid w:val="00B31ADA"/>
    <w:rsid w:val="00B744E5"/>
    <w:rsid w:val="00B91A21"/>
    <w:rsid w:val="00BA01C8"/>
    <w:rsid w:val="00C3178F"/>
    <w:rsid w:val="00C45704"/>
    <w:rsid w:val="00C45DAC"/>
    <w:rsid w:val="00C52EBD"/>
    <w:rsid w:val="00CC3149"/>
    <w:rsid w:val="00D832C0"/>
    <w:rsid w:val="00DA6456"/>
    <w:rsid w:val="00DC56E2"/>
    <w:rsid w:val="00DD626A"/>
    <w:rsid w:val="00E445B3"/>
    <w:rsid w:val="00E950E8"/>
    <w:rsid w:val="00F12FCD"/>
    <w:rsid w:val="00F54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834"/>
    <w:rPr>
      <w:b/>
      <w:bCs/>
    </w:rPr>
  </w:style>
  <w:style w:type="character" w:styleId="a5">
    <w:name w:val="Hyperlink"/>
    <w:basedOn w:val="a0"/>
    <w:uiPriority w:val="99"/>
    <w:semiHidden/>
    <w:unhideWhenUsed/>
    <w:rsid w:val="00A84834"/>
    <w:rPr>
      <w:color w:val="0000FF"/>
      <w:u w:val="single"/>
    </w:rPr>
  </w:style>
  <w:style w:type="paragraph" w:styleId="a6">
    <w:name w:val="No Spacing"/>
    <w:uiPriority w:val="1"/>
    <w:qFormat/>
    <w:rsid w:val="00B000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834"/>
    <w:rPr>
      <w:b/>
      <w:bCs/>
    </w:rPr>
  </w:style>
  <w:style w:type="character" w:styleId="a5">
    <w:name w:val="Hyperlink"/>
    <w:basedOn w:val="a0"/>
    <w:uiPriority w:val="99"/>
    <w:semiHidden/>
    <w:unhideWhenUsed/>
    <w:rsid w:val="00A84834"/>
    <w:rPr>
      <w:color w:val="0000FF"/>
      <w:u w:val="single"/>
    </w:rPr>
  </w:style>
  <w:style w:type="paragraph" w:styleId="a6">
    <w:name w:val="No Spacing"/>
    <w:uiPriority w:val="1"/>
    <w:qFormat/>
    <w:rsid w:val="00B00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x.uz/docs/18942" TargetMode="External"/><Relationship Id="rId5" Type="http://schemas.openxmlformats.org/officeDocument/2006/relationships/hyperlink" Target="https://lex.uz/docs/11118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Guzalya</dc:creator>
  <cp:lastModifiedBy>лл</cp:lastModifiedBy>
  <cp:revision>3</cp:revision>
  <cp:lastPrinted>2021-11-15T12:10:00Z</cp:lastPrinted>
  <dcterms:created xsi:type="dcterms:W3CDTF">2022-02-18T12:18:00Z</dcterms:created>
  <dcterms:modified xsi:type="dcterms:W3CDTF">2022-04-21T11:14:00Z</dcterms:modified>
</cp:coreProperties>
</file>