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EC" w:rsidRDefault="006D68EC" w:rsidP="006D68EC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Соғлиқни сақлаш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тўғрисида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4"/>
        <w:gridCol w:w="1105"/>
        <w:gridCol w:w="1041"/>
        <w:gridCol w:w="783"/>
        <w:gridCol w:w="920"/>
        <w:gridCol w:w="843"/>
        <w:gridCol w:w="853"/>
        <w:gridCol w:w="1094"/>
        <w:gridCol w:w="945"/>
        <w:gridCol w:w="906"/>
      </w:tblGrid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 шаҳри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proofErr w:type="gramEnd"/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ҳуқ</w:t>
            </w:r>
            <w:proofErr w:type="gramStart"/>
            <w:r>
              <w:rPr>
                <w:rStyle w:val="a3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Style w:val="a3"/>
                <w:color w:val="000000"/>
                <w:sz w:val="20"/>
                <w:szCs w:val="20"/>
              </w:rPr>
              <w:t xml:space="preserve">қ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2.1.7. Қонун ҳужжатларига мувофиқ бошқа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қлар.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</w:t>
            </w:r>
            <w:proofErr w:type="gramStart"/>
            <w:r>
              <w:rPr>
                <w:color w:val="000000"/>
                <w:sz w:val="20"/>
                <w:szCs w:val="20"/>
              </w:rPr>
              <w:t>илиш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</w:t>
            </w:r>
            <w:proofErr w:type="gramStart"/>
            <w:r>
              <w:rPr>
                <w:color w:val="000000"/>
                <w:sz w:val="20"/>
                <w:szCs w:val="20"/>
              </w:rPr>
              <w:t>илиш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қлар.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сони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хил </w:t>
            </w:r>
            <w:proofErr w:type="spell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банк</w:t>
            </w:r>
            <w:proofErr w:type="gram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</w:tbl>
    <w:p w:rsidR="00CE3455" w:rsidRDefault="00CE3455" w:rsidP="0042049F">
      <w:pPr>
        <w:shd w:val="clear" w:color="auto" w:fill="FFFFFF"/>
        <w:jc w:val="center"/>
      </w:pPr>
    </w:p>
    <w:sectPr w:rsidR="00CE3455" w:rsidSect="0060004B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EC"/>
    <w:rsid w:val="0042049F"/>
    <w:rsid w:val="00500055"/>
    <w:rsid w:val="005D228D"/>
    <w:rsid w:val="0060004B"/>
    <w:rsid w:val="006D68EC"/>
    <w:rsid w:val="00B373AB"/>
    <w:rsid w:val="00CE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8942" TargetMode="External"/><Relationship Id="rId5" Type="http://schemas.openxmlformats.org/officeDocument/2006/relationships/hyperlink" Target="http://lex.uz/docs/111189" TargetMode="External"/><Relationship Id="rId4" Type="http://schemas.openxmlformats.org/officeDocument/2006/relationships/hyperlink" Target="javascript:scrollText(470104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1661</Words>
  <Characters>9474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4</cp:revision>
  <dcterms:created xsi:type="dcterms:W3CDTF">2022-01-09T08:19:00Z</dcterms:created>
  <dcterms:modified xsi:type="dcterms:W3CDTF">2022-02-05T14:29:00Z</dcterms:modified>
</cp:coreProperties>
</file>