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ACF2" w14:textId="2F5A22DA" w:rsidR="00D560B4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FF7CEB4" wp14:editId="6338BEFE">
            <wp:simplePos x="0" y="0"/>
            <wp:positionH relativeFrom="page">
              <wp:posOffset>495300</wp:posOffset>
            </wp:positionH>
            <wp:positionV relativeFrom="page">
              <wp:posOffset>333375</wp:posOffset>
            </wp:positionV>
            <wp:extent cx="6791083" cy="10229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083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750DB" w14:textId="7265DBC4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8ACD1EF" w14:textId="28FE8EAC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8B435F3" w14:textId="44868079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6FB6996" w14:textId="260E9236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80BD8B1" w14:textId="1984C530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58D6F79" w14:textId="6DFA2ECD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1E25101" w14:textId="524A67CF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B7D3EE1" w14:textId="5EE1E693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B576F05" w14:textId="044ACF96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50A6CE2" w14:textId="3BFFE734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3558C35" w14:textId="63F0B0AF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3B704D7" w14:textId="3F4168B9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B5B5906" w14:textId="0A731087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B4DBA3F" w14:textId="6FEEED5B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C14C09B" w14:textId="032DE097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20DB203" w14:textId="3272D690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A9E2900" w14:textId="2097EB46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F29A315" w14:textId="7B6267D8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936B632" w14:textId="12F83EDC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8903538" w14:textId="2F568122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4A4BC63" w14:textId="5EDBDCEF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3B794CB" w14:textId="24D3ECAA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12B0315" w14:textId="1A2227DB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B5FAD57" w14:textId="10899F9A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ABC84E1" w14:textId="7D426C79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8485BC2" w14:textId="0AF520C9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8F76382" w14:textId="45B15DAC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0637B9B" w14:textId="4389C745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7AE735E" w14:textId="1A8C93B3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E0AF67F" w14:textId="259F3005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701E709" w14:textId="4F093F73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0D4104C" w14:textId="5281EE34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D9C1C60" w14:textId="48F986C3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7B3B24B" w14:textId="33CBBDB7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A39E07C" w14:textId="0965C812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0B917E8" w14:textId="77D6F00D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BC41B96" w14:textId="7D62FC84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97E488A" w14:textId="5CB1C83F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B5C0B3B" w14:textId="052790F5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9F0B529" w14:textId="0262BB8B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0C16837" w14:textId="36C7B99C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72865EC" w14:textId="53DAD6D1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D6FDFBA" w14:textId="17E6A735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6A95E6B" w14:textId="2A97F142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20F4845" w14:textId="3F5449FF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FA787B1" w14:textId="790D52C9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F2DDFC9" w14:textId="6DEED1BF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DF18145" w14:textId="34F9420E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967F504" w14:textId="042F83CE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DE03826" w14:textId="0DD6DA22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67AF30B" w14:textId="35CA9250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75BCC13" w14:textId="57B0B38B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0E4AFA4" w14:textId="5032FFBE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F89FBB5" w14:textId="7B8A26DE" w:rsidR="003E259E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E0203DD" w14:textId="77777777" w:rsidR="003E259E" w:rsidRPr="00CD581F" w:rsidRDefault="003E259E" w:rsidP="001A6A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356B16E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1A9EC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CD581F">
        <w:rPr>
          <w:rFonts w:ascii="Times New Roman" w:hAnsi="Times New Roman"/>
          <w:b/>
          <w:sz w:val="24"/>
          <w:szCs w:val="24"/>
          <w:lang w:val="uz-Cyrl-UZ"/>
        </w:rPr>
        <w:t>МУНДАРИЖА:</w:t>
      </w:r>
    </w:p>
    <w:p w14:paraId="5F4077DB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7430472" w14:textId="77777777" w:rsidR="00D560B4" w:rsidRPr="00CD581F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10E54DD" w14:textId="77777777" w:rsidR="00D560B4" w:rsidRPr="00CD581F" w:rsidRDefault="00D560B4" w:rsidP="001A6AFE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  <w:r w:rsidRPr="00CD581F">
        <w:rPr>
          <w:rFonts w:ascii="Times New Roman" w:hAnsi="Times New Roman"/>
          <w:b/>
          <w:sz w:val="24"/>
          <w:szCs w:val="24"/>
          <w:lang w:val="uz-Cyrl-UZ"/>
        </w:rPr>
        <w:t>1.</w:t>
      </w:r>
      <w:r w:rsidRPr="00CD581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D581F" w:rsidRPr="00CD581F">
        <w:rPr>
          <w:rFonts w:ascii="Times New Roman" w:hAnsi="Times New Roman"/>
          <w:sz w:val="24"/>
          <w:szCs w:val="24"/>
          <w:lang w:val="uz-Cyrl-UZ"/>
        </w:rPr>
        <w:t xml:space="preserve">Танлов </w:t>
      </w:r>
      <w:r w:rsidRPr="00CD581F">
        <w:rPr>
          <w:rFonts w:ascii="Times New Roman" w:hAnsi="Times New Roman"/>
          <w:sz w:val="24"/>
          <w:szCs w:val="24"/>
          <w:lang w:val="uz-Cyrl-UZ"/>
        </w:rPr>
        <w:t>иштирокчилари учун йўриқнома.</w:t>
      </w:r>
    </w:p>
    <w:p w14:paraId="4DDA9F1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7170D0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A5C8CAE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B8DCAB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9A6068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1561AAE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F4A355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CEC2F6E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BE46D7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5478A2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48AD40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CF5DC2E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F0C8217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DE77ABB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45C31A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FE88ADB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723FB8E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A76442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620CC7C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351556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2459479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25DDA2C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587994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E0F598F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DEBA208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3B3FA14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1A8D9DB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5E773A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B4BC9A5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58396D6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43E45B1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40468C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833523C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3E6A263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1F07A97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19BEFC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649DDD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ACF4376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C5BE9FA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D2BC2B5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2D97E0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CC3EDE9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38B0606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0772C9C2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9B2C615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A65ECB8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7337278E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25F57530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549D7CF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38D0EBD9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41F4B9ED" w14:textId="77777777" w:rsidR="00D560B4" w:rsidRPr="00CD581F" w:rsidRDefault="00D560B4" w:rsidP="00F013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</w:p>
    <w:p w14:paraId="648D879F" w14:textId="77777777" w:rsidR="00D560B4" w:rsidRDefault="00D560B4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CD581F">
        <w:rPr>
          <w:rFonts w:ascii="Times New Roman" w:hAnsi="Times New Roman"/>
          <w:b/>
          <w:sz w:val="24"/>
          <w:szCs w:val="24"/>
          <w:lang w:val="uz-Cyrl-UZ"/>
        </w:rPr>
        <w:lastRenderedPageBreak/>
        <w:t>Т</w:t>
      </w:r>
      <w:r w:rsidR="00CD581F" w:rsidRPr="00CD581F">
        <w:rPr>
          <w:rFonts w:ascii="Times New Roman" w:hAnsi="Times New Roman"/>
          <w:b/>
          <w:sz w:val="24"/>
          <w:szCs w:val="24"/>
          <w:lang w:val="uz-Cyrl-UZ"/>
        </w:rPr>
        <w:t xml:space="preserve">анлов </w:t>
      </w:r>
      <w:r w:rsidRPr="00CD581F">
        <w:rPr>
          <w:rFonts w:ascii="Times New Roman" w:hAnsi="Times New Roman"/>
          <w:b/>
          <w:sz w:val="24"/>
          <w:szCs w:val="24"/>
          <w:lang w:val="uz-Cyrl-UZ"/>
        </w:rPr>
        <w:t>иштирокчилари учун йўриқнома</w:t>
      </w:r>
    </w:p>
    <w:p w14:paraId="2498C664" w14:textId="77777777" w:rsidR="009214E7" w:rsidRPr="00CD581F" w:rsidRDefault="009214E7" w:rsidP="001A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520"/>
      </w:tblGrid>
      <w:tr w:rsidR="00CD581F" w:rsidRPr="009214E7" w14:paraId="24280F28" w14:textId="77777777" w:rsidTr="00A16BBE">
        <w:tc>
          <w:tcPr>
            <w:tcW w:w="3369" w:type="dxa"/>
            <w:vAlign w:val="center"/>
          </w:tcPr>
          <w:p w14:paraId="13FFA5D3" w14:textId="77777777" w:rsidR="00CD581F" w:rsidRPr="00CD581F" w:rsidRDefault="00CD581F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1. Умумий қоидалар:</w:t>
            </w:r>
          </w:p>
        </w:tc>
        <w:tc>
          <w:tcPr>
            <w:tcW w:w="6520" w:type="dxa"/>
          </w:tcPr>
          <w:p w14:paraId="51894BAB" w14:textId="77777777" w:rsidR="00CD581F" w:rsidRPr="001119DC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1.1. Ушбу </w:t>
            </w:r>
            <w:r w:rsidR="009214E7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>танлов иштирокчилар учун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>ужжатлар Ўз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 амалдаги </w:t>
            </w:r>
            <w:r w:rsidR="009214E7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>меъёрий</w:t>
            </w:r>
            <w:r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 талаблари асосида ишлаб  чиқилган.</w:t>
            </w:r>
          </w:p>
          <w:p w14:paraId="1B28CBEB" w14:textId="77777777" w:rsidR="00CD581F" w:rsidRPr="00A16BBE" w:rsidRDefault="009214E7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1.2. Т</w:t>
            </w:r>
            <w:r w:rsidR="00CD581F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анлов 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мақсади</w:t>
            </w:r>
            <w:r w:rsidR="00A16BBE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A16BBE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A16BBE"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“Иссиқлик манбаи” ДУК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850B5"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Навоий </w:t>
            </w:r>
            <w:r w:rsidR="00A16BBE"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филиали иссиқлик таъминоти объектларида олиб бориладиган қурилиш-монтаж (мукаммал таъмирлаш) ишларини бажа</w:t>
            </w:r>
            <w:r w:rsidRPr="00A16BB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ришдан иборат.</w:t>
            </w:r>
          </w:p>
          <w:p w14:paraId="0723C653" w14:textId="303C1F81" w:rsidR="00CD581F" w:rsidRPr="00CD581F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1.3</w:t>
            </w:r>
            <w:r w:rsidR="008D5D26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214E7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Танловнинг якуний баҳоси – </w:t>
            </w:r>
            <w:r w:rsidR="003E259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2 004 662 380</w:t>
            </w:r>
            <w:r w:rsidR="003E3C77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214E7" w:rsidRPr="00A16BBE">
              <w:rPr>
                <w:rFonts w:ascii="Times New Roman" w:hAnsi="Times New Roman"/>
                <w:sz w:val="24"/>
                <w:szCs w:val="24"/>
                <w:lang w:val="uz-Cyrl-UZ"/>
              </w:rPr>
              <w:t>сўм.</w:t>
            </w:r>
          </w:p>
          <w:p w14:paraId="027C0A5D" w14:textId="77777777" w:rsidR="008D5D26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1.4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Объектни фойдаланиб турган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муддатларини ҳисобга олган ҳолда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етказиб б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ериш муддати,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яъни,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ишлар (хизматлар)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бажарилиши 30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ўттиз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) кун белгиланади.</w:t>
            </w:r>
          </w:p>
          <w:p w14:paraId="6BA64BB4" w14:textId="77777777" w:rsidR="00CD581F" w:rsidRPr="00CD581F" w:rsidRDefault="00CD581F" w:rsidP="009214E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1.5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Танлов таклифи билан кўрсатилган нарх 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якун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ий қийматдан ошмаслиги керак.</w:t>
            </w:r>
          </w:p>
          <w:p w14:paraId="65B321E4" w14:textId="77777777" w:rsidR="00CD581F" w:rsidRPr="008D5D26" w:rsidRDefault="00CD581F" w:rsidP="00A16BB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1.6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Х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арид комиссияси мажлис 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ш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акллари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– электрон тартибда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 w:rsidR="00CD581F" w:rsidRPr="00A16BBE" w14:paraId="041812E8" w14:textId="77777777" w:rsidTr="00A16BBE">
        <w:tc>
          <w:tcPr>
            <w:tcW w:w="3369" w:type="dxa"/>
            <w:vAlign w:val="center"/>
          </w:tcPr>
          <w:p w14:paraId="2FDA3784" w14:textId="77777777" w:rsidR="00CD581F" w:rsidRPr="00CD581F" w:rsidRDefault="009214E7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2. Танлов</w:t>
            </w:r>
            <w:r w:rsidR="00CD581F" w:rsidRPr="00CD581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ташкилотчилари:</w:t>
            </w:r>
          </w:p>
        </w:tc>
        <w:tc>
          <w:tcPr>
            <w:tcW w:w="6520" w:type="dxa"/>
          </w:tcPr>
          <w:p w14:paraId="61908F74" w14:textId="77777777" w:rsidR="00CD581F" w:rsidRPr="00CD581F" w:rsidRDefault="00CD581F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2.1 Навоий вилояти “Иссиқлик манбаи” Давлат Унитар Корхонаси (кейинги ўринда буюртмачи) танловнинг буюртмачиси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дир.</w:t>
            </w:r>
          </w:p>
          <w:p w14:paraId="01DC4071" w14:textId="77777777" w:rsidR="00CD581F" w:rsidRPr="00CD581F" w:rsidRDefault="00CD581F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Буюртмачи манзили: Навоий шаҳри, А.Темур</w:t>
            </w:r>
          </w:p>
          <w:p w14:paraId="79A0E6B8" w14:textId="77777777" w:rsidR="00CD581F" w:rsidRPr="00CD581F" w:rsidRDefault="00CD581F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кўчаси 4 уй.</w:t>
            </w:r>
          </w:p>
          <w:p w14:paraId="2CC01F7A" w14:textId="77777777" w:rsidR="00CD581F" w:rsidRPr="00CD581F" w:rsidRDefault="00A16BBE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2.2 </w:t>
            </w:r>
            <w:r w:rsidR="00CD581F"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Ташкилотчининг  мурожа</w:t>
            </w:r>
            <w:r w:rsidR="009214E7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="00CD581F"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т этувчиси:</w:t>
            </w:r>
          </w:p>
          <w:p w14:paraId="618454D3" w14:textId="77777777" w:rsidR="00CD581F" w:rsidRPr="008339D1" w:rsidRDefault="001119DC" w:rsidP="001119D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Ишлаб чиқариш техник хизмати бошлиғи</w:t>
            </w:r>
            <w:r w:rsidR="009214E7" w:rsidRPr="008339D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Х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амро</w:t>
            </w:r>
            <w:r w:rsidR="009214E7" w:rsidRPr="008339D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ев</w:t>
            </w:r>
            <w:r w:rsidR="00A16BB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Бахриддин Бахтиёрович</w:t>
            </w:r>
            <w:r w:rsidR="00A16BB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.</w:t>
            </w:r>
            <w:r w:rsidR="008339D1" w:rsidRPr="008339D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</w:p>
          <w:p w14:paraId="2CB703C3" w14:textId="77777777" w:rsidR="00CD581F" w:rsidRPr="008339D1" w:rsidRDefault="00CD581F" w:rsidP="00A16BB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2.3 Комиссиянинг ишчи органи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-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Харид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ком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ссияси хисобланади (кейинги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ринда-ишчи</w:t>
            </w:r>
            <w:r w:rsid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>орган)</w:t>
            </w:r>
          </w:p>
        </w:tc>
      </w:tr>
      <w:tr w:rsidR="00CD581F" w:rsidRPr="003E259E" w14:paraId="2E939794" w14:textId="77777777" w:rsidTr="00A16BBE">
        <w:tc>
          <w:tcPr>
            <w:tcW w:w="3369" w:type="dxa"/>
            <w:vAlign w:val="center"/>
          </w:tcPr>
          <w:p w14:paraId="2A99F133" w14:textId="77777777" w:rsidR="00CD581F" w:rsidRPr="00CD581F" w:rsidRDefault="008D5D26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3. Тендер иштирокчилари:</w:t>
            </w:r>
          </w:p>
        </w:tc>
        <w:tc>
          <w:tcPr>
            <w:tcW w:w="6520" w:type="dxa"/>
          </w:tcPr>
          <w:p w14:paraId="6EC6FDBA" w14:textId="77777777" w:rsidR="008D5D26" w:rsidRPr="008D5D26" w:rsidRDefault="00A16BBE" w:rsidP="008339D1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3.1 Мулкчилик шаклидан қа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ъ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ий назар ҳар қандай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ю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ридик шахс, шу жумладан 4.2-бандда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1119DC">
              <w:rPr>
                <w:rFonts w:ascii="Times New Roman" w:hAnsi="Times New Roman"/>
                <w:sz w:val="24"/>
                <w:szCs w:val="24"/>
                <w:lang w:val="uz-Cyrl-UZ"/>
              </w:rPr>
              <w:t>кўрсатилган ю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ридик шахслар бундан мустасно, иштирок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этиши мумкин.</w:t>
            </w:r>
          </w:p>
          <w:p w14:paraId="6300BE5B" w14:textId="77777777" w:rsidR="00CD581F" w:rsidRPr="008D5D26" w:rsidRDefault="008D5D26" w:rsidP="001119DC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3.2 Иштирокчилар қуйидаги мезонларга жавоб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бериши керак:</w:t>
            </w:r>
          </w:p>
        </w:tc>
      </w:tr>
      <w:tr w:rsidR="00CD581F" w:rsidRPr="003E259E" w14:paraId="2D5FEFCB" w14:textId="77777777" w:rsidTr="00A16BBE">
        <w:tc>
          <w:tcPr>
            <w:tcW w:w="3369" w:type="dxa"/>
            <w:vAlign w:val="center"/>
          </w:tcPr>
          <w:p w14:paraId="6F2ADF88" w14:textId="77777777" w:rsidR="00CD581F" w:rsidRPr="00CD581F" w:rsidRDefault="00CD581F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520" w:type="dxa"/>
          </w:tcPr>
          <w:p w14:paraId="5ACE4B48" w14:textId="77777777" w:rsid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белгиланган маблағларни, ишлаб чиқариш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базасини, меҳнат ресурсларини ва ишларни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(хизматларни) бажариш учун зарур бўлган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мутахассисларни тақдим этиш учун танлов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саволлари предмети қийматининг камида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0% миқдорида айланма маблағнинг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мавжудлиги.</w:t>
            </w:r>
          </w:p>
          <w:p w14:paraId="372AF222" w14:textId="77777777" w:rsidR="008339D1" w:rsidRPr="008D5D26" w:rsidRDefault="008339D1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иссиқлик таъминоти ва </w:t>
            </w:r>
            <w:r w:rsidR="001119DC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сув қувурларини </w:t>
            </w:r>
            <w:r w:rsidR="001119DC">
              <w:rPr>
                <w:rFonts w:ascii="Times New Roman" w:hAnsi="Times New Roman"/>
                <w:sz w:val="24"/>
                <w:szCs w:val="24"/>
                <w:lang w:val="uz-Cyrl-UZ"/>
              </w:rPr>
              <w:t>мукаммал таъмирлаш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каби ишлар бўйича камида 3 йиллик тажрибага эга</w:t>
            </w:r>
            <w:r w:rsidR="00A16BB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бўлишлиги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0597C830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зарур техник, молиявий, материалларнинг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мавжудлиги,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шартнома шартларини бажариш учун инсон ва бошқа ресурслар:</w:t>
            </w:r>
          </w:p>
          <w:p w14:paraId="2AE79801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шартнома тузиш ҳуқуқи;</w:t>
            </w:r>
          </w:p>
          <w:p w14:paraId="11BF2B8B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солиқ қарзи ва бошқа мажбурий тўловларнинг йўқлиги;</w:t>
            </w:r>
          </w:p>
          <w:p w14:paraId="6DF62A6B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уларга нисбатан жорий қилинган банкротлик процедураларининг йўқлиги;</w:t>
            </w:r>
          </w:p>
          <w:p w14:paraId="17C62A2F" w14:textId="77777777" w:rsidR="008D5D26" w:rsidRPr="008D5D26" w:rsidRDefault="008D5D26" w:rsidP="009214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"Буюртмачи" билан суд ёки ҳакамлик суд ишларининг йўқлиги;</w:t>
            </w:r>
          </w:p>
          <w:p w14:paraId="284D025A" w14:textId="77777777" w:rsidR="00CD581F" w:rsidRPr="008339D1" w:rsidRDefault="008D5D26" w:rsidP="001119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-виждонсиз ижрочиларнинг ягона реестрида улар ҳақида ёзувнинг йўқлиги.</w:t>
            </w:r>
          </w:p>
        </w:tc>
      </w:tr>
      <w:tr w:rsidR="008D5D26" w:rsidRPr="003E259E" w14:paraId="79DB43F0" w14:textId="77777777" w:rsidTr="00A16BBE">
        <w:tc>
          <w:tcPr>
            <w:tcW w:w="3369" w:type="dxa"/>
            <w:vAlign w:val="center"/>
          </w:tcPr>
          <w:p w14:paraId="547F01F5" w14:textId="77777777" w:rsidR="008D5D26" w:rsidRPr="00CD581F" w:rsidRDefault="008D5D26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4. Т</w:t>
            </w:r>
            <w:r w:rsidR="008339D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анлов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ўтказиш тартиби:</w:t>
            </w:r>
          </w:p>
        </w:tc>
        <w:tc>
          <w:tcPr>
            <w:tcW w:w="6520" w:type="dxa"/>
          </w:tcPr>
          <w:p w14:paraId="277AEB39" w14:textId="77777777" w:rsidR="008D5D26" w:rsidRPr="008D5D26" w:rsidRDefault="008D5D26" w:rsidP="009214E7">
            <w:pPr>
              <w:spacing w:after="0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4.1 Танловда қатнашиш учун иштирокчи:</w:t>
            </w:r>
          </w:p>
          <w:p w14:paraId="319EADAB" w14:textId="77777777" w:rsidR="008D5D26" w:rsidRPr="008D5D26" w:rsidRDefault="008D5D2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а) расмий веб-сайтда </w:t>
            </w:r>
            <w:r w:rsidR="0073165B">
              <w:rPr>
                <w:rFonts w:ascii="Times New Roman" w:hAnsi="Times New Roman"/>
                <w:sz w:val="24"/>
                <w:szCs w:val="24"/>
                <w:lang w:val="uz-Cyrl-UZ"/>
              </w:rPr>
              <w:t>(</w:t>
            </w:r>
            <w:r w:rsidR="0073165B" w:rsidRPr="001119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etender.uzex.uz)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жойлаштирилган харидлар тўғрисидаги ҳужжатларнинг электрон версиясини олиш (юклаб олиш)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2F79494C" w14:textId="77777777" w:rsidR="008D5D26" w:rsidRPr="008D5D26" w:rsidRDefault="008D5D2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б) харид ҳужжатлари талабларига мувофиқ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таклифини</w:t>
            </w:r>
            <w:r w:rsidR="00A95DB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 w:rsidR="00BF54F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ишларни бажариш учун нарх таклифи, жисмоний ҳажм </w:t>
            </w:r>
            <w:r w:rsidR="00BF54F0" w:rsidRPr="00BF54F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физ.объём</w:t>
            </w:r>
            <w:r w:rsidR="00A95DB6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тақдим этиш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14:paraId="5AFDA9B9" w14:textId="77777777" w:rsidR="008339D1" w:rsidRDefault="008D5D2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4.2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. Қуйидаги ҳолларда и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штирокчилар танловда иштирок </w:t>
            </w:r>
            <w:r w:rsidR="008339D1">
              <w:rPr>
                <w:rFonts w:ascii="Times New Roman" w:hAnsi="Times New Roman"/>
                <w:sz w:val="24"/>
                <w:szCs w:val="24"/>
                <w:lang w:val="uz-Cyrl-UZ"/>
              </w:rPr>
              <w:t>э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тишларига йўл қўйилмайди: </w:t>
            </w:r>
          </w:p>
          <w:p w14:paraId="5064F220" w14:textId="77777777" w:rsidR="008D5D26" w:rsidRPr="008339D1" w:rsidRDefault="008D5D26" w:rsidP="008339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339D1">
              <w:rPr>
                <w:rFonts w:ascii="Times New Roman" w:hAnsi="Times New Roman"/>
                <w:sz w:val="24"/>
                <w:szCs w:val="24"/>
                <w:lang w:val="uz-Cyrl-UZ"/>
              </w:rPr>
              <w:t>қайта ташкил этиш, тугатиш ёки банкротлик босқичида бўлганлар;</w:t>
            </w:r>
          </w:p>
          <w:p w14:paraId="4BA9A03F" w14:textId="77777777" w:rsidR="008D5D26" w:rsidRPr="008D5D26" w:rsidRDefault="008D5D26" w:rsidP="009214E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"Мижозлар"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билан суд ёки арбитраж ҳолатида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бўлиш;</w:t>
            </w:r>
          </w:p>
          <w:p w14:paraId="45757CEF" w14:textId="77777777" w:rsidR="008D5D26" w:rsidRPr="008D5D26" w:rsidRDefault="008D5D26" w:rsidP="009214E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виждонсиз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ижрочиларнинг ягона реестрида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бўлганлар;</w:t>
            </w:r>
          </w:p>
          <w:p w14:paraId="4746B3D1" w14:textId="77777777" w:rsidR="008D5D26" w:rsidRPr="008D5D26" w:rsidRDefault="008D5D26" w:rsidP="009214E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солиқлар ва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бошқа мажбурий тўловлар бўйича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мавжуд қарзларга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эга бўлганлар.</w:t>
            </w:r>
          </w:p>
          <w:p w14:paraId="7E6D2E57" w14:textId="77777777" w:rsidR="008D5D26" w:rsidRPr="008D5D26" w:rsidRDefault="008D5D26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4.3 Буюртмачи иштирокчини харид тартиб-      таомилларида қатнашишдан четлаштиради,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гар:</w:t>
            </w:r>
          </w:p>
          <w:p w14:paraId="3D97C281" w14:textId="77777777" w:rsidR="00E54D92" w:rsidRDefault="008D5D26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иштирокчи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тўғридан- тўғри ёки билвосита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мижознинг ёки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корхонанинг</w:t>
            </w:r>
            <w:r w:rsidR="00E54D92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бошқа амалдаги ёки собиқ ходимига ҳар қандай шаклда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маблағ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, иш таклифини бер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са;</w:t>
            </w:r>
          </w:p>
          <w:p w14:paraId="020DB54B" w14:textId="77777777" w:rsidR="008D5D26" w:rsidRPr="008D5D26" w:rsidRDefault="00E54D92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давлат харидлари жараёнида харидорларнинг ҳар қандай </w:t>
            </w:r>
            <w:r w:rsidR="00BF54F0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атти-ҳаракатларини амалга оширишга, қарорларни қабул қилишга ёки ҳар қандай танлов 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артибини қўллашга таъсир қилиш м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ақсад</w:t>
            </w:r>
            <w:r w:rsidR="009F0252">
              <w:rPr>
                <w:rFonts w:ascii="Times New Roman" w:hAnsi="Times New Roman"/>
                <w:sz w:val="24"/>
                <w:szCs w:val="24"/>
                <w:lang w:val="uz-Cyrl-UZ"/>
              </w:rPr>
              <w:t>ида бошқа ҳар қандай қимматбаҳо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нарсалар ёки хизматлар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таклиф қилса</w:t>
            </w:r>
            <w:r w:rsidR="008D5D26"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62F0BD55" w14:textId="77777777" w:rsidR="008D5D26" w:rsidRDefault="008D5D26" w:rsidP="00E54D92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>- иштирокчи қонунни бузган ҳолда адола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тс</w:t>
            </w:r>
            <w:r w:rsidRPr="008D5D2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из рақобат устунлиги ёки манфаатлар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тўқнашувига эга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бўлса;</w:t>
            </w:r>
          </w:p>
          <w:p w14:paraId="489C63D6" w14:textId="77777777" w:rsidR="008D5D26" w:rsidRDefault="00E54D92" w:rsidP="00E54D92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шартнома шартларини бузса</w:t>
            </w:r>
            <w:r w:rsidR="00BF54F0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14:paraId="32AEE02F" w14:textId="77777777" w:rsidR="00BF54F0" w:rsidRPr="00BF54F0" w:rsidRDefault="00BF54F0" w:rsidP="005E298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F54F0">
              <w:rPr>
                <w:rFonts w:ascii="Times New Roman" w:hAnsi="Times New Roman"/>
                <w:sz w:val="24"/>
                <w:szCs w:val="24"/>
                <w:lang w:val="uz-Cyrl-UZ"/>
              </w:rPr>
              <w:t>иштирокчи буюртмачи объектларида бажарган қурилиш-монтаж ишлари бўйича барча ҳужжатларни йиғма жилд (папка) шаклида топширмаган тақди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>р</w:t>
            </w:r>
            <w:r w:rsidRPr="00BF54F0">
              <w:rPr>
                <w:rFonts w:ascii="Times New Roman" w:hAnsi="Times New Roman"/>
                <w:sz w:val="24"/>
                <w:szCs w:val="24"/>
                <w:lang w:val="uz-Cyrl-UZ"/>
              </w:rPr>
              <w:t>да</w:t>
            </w:r>
          </w:p>
        </w:tc>
      </w:tr>
      <w:tr w:rsidR="00CD581F" w:rsidRPr="003E259E" w14:paraId="1F4D317B" w14:textId="77777777" w:rsidTr="00A16BBE">
        <w:tc>
          <w:tcPr>
            <w:tcW w:w="3369" w:type="dxa"/>
            <w:vAlign w:val="center"/>
          </w:tcPr>
          <w:p w14:paraId="6BCA385C" w14:textId="77777777" w:rsidR="00CD581F" w:rsidRPr="00CD581F" w:rsidRDefault="009F0252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5.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</w:t>
            </w:r>
            <w:r w:rsidR="00E54D9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анлов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шартларига кўра танлов тили:</w:t>
            </w:r>
          </w:p>
        </w:tc>
        <w:tc>
          <w:tcPr>
            <w:tcW w:w="6520" w:type="dxa"/>
          </w:tcPr>
          <w:p w14:paraId="47E10A19" w14:textId="77777777" w:rsidR="00CD581F" w:rsidRPr="009F0252" w:rsidRDefault="009F0252" w:rsidP="00C53D46">
            <w:pPr>
              <w:spacing w:after="0"/>
              <w:ind w:left="12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B3B56">
              <w:rPr>
                <w:rFonts w:ascii="Times New Roman" w:hAnsi="Times New Roman"/>
                <w:sz w:val="24"/>
                <w:szCs w:val="24"/>
                <w:lang w:val="uz-Cyrl-UZ"/>
              </w:rPr>
              <w:t>5.1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 ва буюртмачи томонидан амалга ошириладиган </w:t>
            </w:r>
            <w:r w:rsidR="00E54D92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таклифи ва унга тегишли барча ёзишмалар ва ҳужжатлар ўзбек ёки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тилларида бўлиши керак.</w:t>
            </w:r>
          </w:p>
        </w:tc>
      </w:tr>
      <w:tr w:rsidR="00CD581F" w:rsidRPr="003E259E" w14:paraId="1053851F" w14:textId="77777777" w:rsidTr="00A16BBE">
        <w:tc>
          <w:tcPr>
            <w:tcW w:w="3369" w:type="dxa"/>
            <w:vAlign w:val="center"/>
          </w:tcPr>
          <w:p w14:paraId="6F7011B3" w14:textId="77777777" w:rsidR="00CD581F" w:rsidRPr="00CD581F" w:rsidRDefault="00C53D46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6. Танлов</w:t>
            </w:r>
            <w:r w:rsidR="009F0252"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таклифи ва уни рўйхатдан ўтказиш тартиби:</w:t>
            </w:r>
          </w:p>
        </w:tc>
        <w:tc>
          <w:tcPr>
            <w:tcW w:w="6520" w:type="dxa"/>
          </w:tcPr>
          <w:p w14:paraId="3963EDF3" w14:textId="77777777" w:rsidR="009F0252" w:rsidRPr="009F0252" w:rsidRDefault="009F0252" w:rsidP="00C53D46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6.1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="00C53D46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штирокчилар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Порталда эълон қилинган танлов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шартлари бўйича таклифларни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электрон шаклда юборадилар.</w:t>
            </w:r>
          </w:p>
          <w:p w14:paraId="49AC48BC" w14:textId="77777777" w:rsidR="009F0252" w:rsidRPr="009F0252" w:rsidRDefault="009F0252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6.2 Танлов иштирокчиси:</w:t>
            </w:r>
          </w:p>
          <w:p w14:paraId="716F3CBF" w14:textId="77777777" w:rsidR="009F0252" w:rsidRPr="009F0252" w:rsidRDefault="00C53D46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тақдим этилган маълумотлар ва ҳужжатларнинг ҳақиқийлиги ва ишончлилиги учун жавобгарликни ўз зиммасига олади;</w:t>
            </w:r>
          </w:p>
          <w:p w14:paraId="537A4D2B" w14:textId="77777777" w:rsidR="009F0252" w:rsidRPr="009F0252" w:rsidRDefault="00C53D46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тақдим этилган таклифни ушбу таклифларни тақдим этиш муддати тугамагунча қайтариб олиш ёки ўзгартириш ҳуқуқига эга.</w:t>
            </w:r>
          </w:p>
          <w:p w14:paraId="15EF461D" w14:textId="77777777" w:rsidR="009F0252" w:rsidRPr="009F0252" w:rsidRDefault="00C53D46" w:rsidP="00C53D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6.3 Танлов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таклифи электрон шаклда тақдим э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тилади.</w:t>
            </w:r>
          </w:p>
          <w:p w14:paraId="176171B2" w14:textId="77777777" w:rsidR="00CD581F" w:rsidRPr="00CD581F" w:rsidRDefault="009F0252" w:rsidP="005E29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6.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Иштирокчиларнинг аризаларини амал қилиш муддати аризаларни топшириш тугаган кундан бошлаб камида 10 кун бўлиши керак.</w:t>
            </w:r>
          </w:p>
        </w:tc>
      </w:tr>
      <w:tr w:rsidR="00CD581F" w:rsidRPr="003E259E" w14:paraId="1FAF3C46" w14:textId="77777777" w:rsidTr="00A16BBE">
        <w:tc>
          <w:tcPr>
            <w:tcW w:w="3369" w:type="dxa"/>
            <w:vAlign w:val="center"/>
          </w:tcPr>
          <w:p w14:paraId="6F26A65D" w14:textId="77777777" w:rsidR="00CD581F" w:rsidRPr="00CD581F" w:rsidRDefault="009F0252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7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 Т</w:t>
            </w:r>
            <w:r w:rsidR="00C53D4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анлов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ҳужжатларига ўзгартиришлар</w:t>
            </w:r>
            <w:r w:rsidR="00C53D4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киритиш</w:t>
            </w: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6520" w:type="dxa"/>
          </w:tcPr>
          <w:p w14:paraId="38C92F27" w14:textId="77777777" w:rsidR="009F0252" w:rsidRPr="009F0252" w:rsidRDefault="00C53D46" w:rsidP="009214E7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7.1. Зарурият туфайли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, буюртмачи танлов ҳужжатларига ўзгартиришлар киритиш тўғрисида қарор қабул қилишга ҳақлидир.</w:t>
            </w:r>
          </w:p>
          <w:p w14:paraId="1922BE44" w14:textId="77777777" w:rsidR="009F0252" w:rsidRPr="009F0252" w:rsidRDefault="00C53D46" w:rsidP="009214E7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Танлов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ҳужжатларига ўзгартириш киритиш тўғрисидаги қарор таклифларни тақдим этиш муддатидан уч кундан кечиктирмай қабул қилиниши мумкин.</w:t>
            </w:r>
          </w:p>
          <w:p w14:paraId="64E9FB09" w14:textId="77777777" w:rsidR="009F0252" w:rsidRPr="009F0252" w:rsidRDefault="00C53D46" w:rsidP="009214E7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ҳужжатларига ўзгартиришлар киритиш жараёнида ҳужжатларни (ишларни, хизматларни) ёки унинг хусусиятларини ўзгартиришга йўл қўйилмайди.</w:t>
            </w:r>
          </w:p>
          <w:p w14:paraId="7F507B48" w14:textId="77777777" w:rsidR="009F0252" w:rsidRPr="009F0252" w:rsidRDefault="009F0252" w:rsidP="009214E7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    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Aгар таклифларни қабул қилиш муддати тугагунига қадар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ҳужжатларига 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ўзгартиришлар киритилган бўлса,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танлов ҳужжатларига ўзгартиришлар киритилган кундан бошлаб камида ўн кунга узайтирилади.</w:t>
            </w:r>
          </w:p>
          <w:p w14:paraId="4D967264" w14:textId="77777777" w:rsidR="00CD581F" w:rsidRPr="00C53D46" w:rsidRDefault="009F0252" w:rsidP="00C53D46">
            <w:pPr>
              <w:spacing w:after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Шу билан бирга, агар эълонда кўрсатилган</w:t>
            </w:r>
            <w:r w:rsidRPr="00CD581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маълумотл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ар ўзгартирилган бўлса, танлов э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ълонига ўзгартиришлар киритилади.</w:t>
            </w:r>
          </w:p>
        </w:tc>
      </w:tr>
      <w:tr w:rsidR="00CD581F" w:rsidRPr="003E259E" w14:paraId="392E59AE" w14:textId="77777777" w:rsidTr="00A16BBE">
        <w:tc>
          <w:tcPr>
            <w:tcW w:w="3369" w:type="dxa"/>
            <w:vAlign w:val="center"/>
          </w:tcPr>
          <w:p w14:paraId="20A80A05" w14:textId="77777777" w:rsidR="00CD581F" w:rsidRPr="00CD581F" w:rsidRDefault="009F0252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8. Томонларнинг жавобгарлиги ва махфийлик:</w:t>
            </w:r>
          </w:p>
        </w:tc>
        <w:tc>
          <w:tcPr>
            <w:tcW w:w="6520" w:type="dxa"/>
          </w:tcPr>
          <w:p w14:paraId="69952B52" w14:textId="77777777" w:rsidR="00C53D46" w:rsidRDefault="009F0252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8.1 Ўзбекистон Республикаси қонунчилигида назарда тутилган жавобгарликни қуйидагилар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зиммасига олади:</w:t>
            </w:r>
          </w:p>
          <w:p w14:paraId="1AABC9E6" w14:textId="77777777" w:rsidR="009F0252" w:rsidRPr="009F0252" w:rsidRDefault="00C53D46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ишчи орган таркибига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кирувчи, келиб тушган таклифлар ҳисобини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юритадиган ва уларнинг хавфсизлиги ва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махфийлигини таъминлайдиган шахслар.</w:t>
            </w:r>
          </w:p>
          <w:p w14:paraId="4B6D3F9D" w14:textId="77777777" w:rsidR="00CD581F" w:rsidRPr="00C53D46" w:rsidRDefault="00C53D46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 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Комиссия раиси ва аъзолари, шунингдек, таклифларни ўрганиш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бўйича мутахассислар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ва бошқа </w:t>
            </w:r>
            <w:r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иштирокчилар</w:t>
            </w:r>
            <w:r w:rsidR="009F0252" w:rsidRPr="009F0252">
              <w:rPr>
                <w:rFonts w:ascii="Times New Roman" w:hAnsi="Times New Roman"/>
                <w:sz w:val="24"/>
                <w:szCs w:val="24"/>
                <w:lang w:val="uz-Cyrl-UZ"/>
              </w:rPr>
              <w:t>, маълумотни ошкор қилиш, комиссиянинг бошқа аъзолари ва тайинланган экспертлар билан тил бириктириш, шунингдек бошқа қарши чоралар кўриш учун тузилган гуруҳ аъзолари.</w:t>
            </w:r>
          </w:p>
        </w:tc>
      </w:tr>
      <w:tr w:rsidR="004F5D7D" w:rsidRPr="003E259E" w14:paraId="57E1AB77" w14:textId="77777777" w:rsidTr="00A16BBE">
        <w:tc>
          <w:tcPr>
            <w:tcW w:w="3369" w:type="dxa"/>
            <w:vAlign w:val="center"/>
          </w:tcPr>
          <w:p w14:paraId="4233346A" w14:textId="77777777" w:rsidR="004F5D7D" w:rsidRPr="009F0252" w:rsidRDefault="004F5D7D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9. Бошқа шартлар:</w:t>
            </w:r>
          </w:p>
        </w:tc>
        <w:tc>
          <w:tcPr>
            <w:tcW w:w="6520" w:type="dxa"/>
          </w:tcPr>
          <w:p w14:paraId="416E95EF" w14:textId="77777777" w:rsidR="004F5D7D" w:rsidRPr="004F5D7D" w:rsidRDefault="004F5D7D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9.1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. Танлов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иштирокчиси буюртмачига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эълонлари кўрсатилган шаклда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анлов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ҳужжатлари қоидаларига аниқлик киритиш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тўғрисида сўров юбориш ҳуқуқига эга.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Белгиланган сўров олинган кундан бошлаб икки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 куни ичида буюртмачи белгиланган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муддатда т</w:t>
            </w:r>
            <w:r w:rsidR="00C53D4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 қоидаларига оид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тушунтиришларни юбориши шарт, агар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белгиланган талаб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конкурс шартлари тугашига икки кундан кўп вақт қолган бўлса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 қоидаларига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тушунтиришлар унинг моҳиятини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ўзгартирмаслиги керак.</w:t>
            </w:r>
          </w:p>
          <w:p w14:paraId="4A7AB9FB" w14:textId="77777777" w:rsidR="00734466" w:rsidRDefault="004F5D7D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9.2 Танлов комиссияси томонидан танлов ўтказилмаган деб топилиши мумкин: </w:t>
            </w:r>
          </w:p>
          <w:p w14:paraId="613DA8F3" w14:textId="77777777" w:rsidR="00734466" w:rsidRDefault="00734466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="004F5D7D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агар танловда битта иштирокчи қатнашган бўлса ёки ҳеч ким қатнашмаган бўлса; </w:t>
            </w:r>
          </w:p>
          <w:p w14:paraId="15875928" w14:textId="77777777" w:rsidR="004F5D7D" w:rsidRPr="004F5D7D" w:rsidRDefault="00734466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E2981">
              <w:rPr>
                <w:rFonts w:ascii="Times New Roman" w:hAnsi="Times New Roman"/>
                <w:sz w:val="24"/>
                <w:szCs w:val="24"/>
                <w:highlight w:val="yellow"/>
                <w:lang w:val="uz-Cyrl-UZ"/>
              </w:rPr>
              <w:t>-</w:t>
            </w:r>
            <w:r w:rsidR="004F5D7D" w:rsidRPr="005E2981">
              <w:rPr>
                <w:rFonts w:ascii="Times New Roman" w:hAnsi="Times New Roman"/>
                <w:sz w:val="24"/>
                <w:szCs w:val="24"/>
                <w:highlight w:val="yellow"/>
                <w:lang w:val="uz-Cyrl-UZ"/>
              </w:rPr>
              <w:t>агар таклифларни кўриб чиқиш натижалари бўйича танлов комиссияси барча таклифларни танлов ҳужжатлари талабларига мос келмаслиги сабабли рад етган бўлса;</w:t>
            </w:r>
          </w:p>
          <w:p w14:paraId="04741612" w14:textId="77777777" w:rsidR="004F5D7D" w:rsidRPr="004F5D7D" w:rsidRDefault="004F5D7D" w:rsidP="00C53D46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9.3 Мижоз ғолиб бўлган таклифни қабул қилишдан олдин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исталган вақтда танловни бекор қилишга ҳақлидир. Танлов бекор қилинган тақдирда, мижоз ушбу қарорнинг асосли сабабларини махсус ахборот порталида эълон қилади.</w:t>
            </w:r>
          </w:p>
          <w:p w14:paraId="747F6F67" w14:textId="77777777" w:rsidR="004F5D7D" w:rsidRPr="00734466" w:rsidRDefault="004F5D7D" w:rsidP="005E2981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9.4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натижаларига кўра,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ҳужжатлари ва шартнома </w:t>
            </w:r>
            <w:r w:rsidR="005E2981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расмийлаштири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лган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иштирокчиси томонидан тақдим этилган таклифда кўрсатилган шартлар асосида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расмийлаштири</w:t>
            </w:r>
            <w:r w:rsidR="00A806E7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л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ади.</w:t>
            </w:r>
          </w:p>
        </w:tc>
      </w:tr>
      <w:tr w:rsidR="004F5D7D" w:rsidRPr="003E259E" w14:paraId="46C6D6E4" w14:textId="77777777" w:rsidTr="00A16BBE">
        <w:tc>
          <w:tcPr>
            <w:tcW w:w="3369" w:type="dxa"/>
            <w:vAlign w:val="center"/>
          </w:tcPr>
          <w:p w14:paraId="077BE78D" w14:textId="77777777" w:rsidR="004F5D7D" w:rsidRPr="004F5D7D" w:rsidRDefault="004F5D7D" w:rsidP="00A16BB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10. Шартнома тузиш:</w:t>
            </w:r>
          </w:p>
        </w:tc>
        <w:tc>
          <w:tcPr>
            <w:tcW w:w="6520" w:type="dxa"/>
          </w:tcPr>
          <w:p w14:paraId="376EAE3E" w14:textId="77777777" w:rsidR="004F5D7D" w:rsidRPr="004F5D7D" w:rsidRDefault="004F5D7D" w:rsidP="009214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10.1 Т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комиссиясининг қарори билан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ғолиби деб эълон қилинган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иштирокчиси буюртмачидан ёзма равишда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ёки мавжуд алоқа боғланишлари орқали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хабар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нома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олади.</w:t>
            </w:r>
          </w:p>
          <w:p w14:paraId="2C1F45D5" w14:textId="77777777" w:rsidR="004F5D7D" w:rsidRPr="004F5D7D" w:rsidRDefault="004F5D7D" w:rsidP="00A806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Aгар 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танлов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ғолиби танлов шартлари бўйича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ишдан бош тор</w:t>
            </w:r>
            <w:r w:rsidR="00734466">
              <w:rPr>
                <w:rFonts w:ascii="Times New Roman" w:hAnsi="Times New Roman"/>
                <w:sz w:val="24"/>
                <w:szCs w:val="24"/>
                <w:lang w:val="uz-Cyrl-UZ"/>
              </w:rPr>
              <w:t>тса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 ҳуқуқи за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ҳ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ира пудра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тчисига ўтади. Бундай ҳолда, заҳ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ира пудратчи тендер ғолиби томонидан таклиф қилинган нарх бўйича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="00A806E7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ёки шартнома </w:t>
            </w:r>
            <w:r w:rsidR="00A806E7">
              <w:rPr>
                <w:rFonts w:ascii="Times New Roman" w:hAnsi="Times New Roman"/>
                <w:sz w:val="24"/>
                <w:szCs w:val="24"/>
                <w:lang w:val="uz-Cyrl-UZ"/>
              </w:rPr>
              <w:t>расмийлаштир</w:t>
            </w:r>
            <w:r w:rsidR="00A806E7"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иш</w:t>
            </w:r>
            <w:r w:rsidRPr="004F5D7D">
              <w:rPr>
                <w:rFonts w:ascii="Times New Roman" w:hAnsi="Times New Roman"/>
                <w:sz w:val="24"/>
                <w:szCs w:val="24"/>
                <w:lang w:val="uz-Cyrl-UZ"/>
              </w:rPr>
              <w:t>дан бош тортиши мумкин.</w:t>
            </w:r>
          </w:p>
        </w:tc>
      </w:tr>
    </w:tbl>
    <w:p w14:paraId="552ED2DA" w14:textId="77777777" w:rsidR="003A2116" w:rsidRDefault="003A2116" w:rsidP="00D800C6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490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670"/>
        <w:gridCol w:w="325"/>
        <w:gridCol w:w="433"/>
        <w:gridCol w:w="433"/>
        <w:gridCol w:w="433"/>
        <w:gridCol w:w="745"/>
      </w:tblGrid>
      <w:tr w:rsidR="00D76798" w:rsidRPr="00D76798" w14:paraId="47814CBD" w14:textId="77777777" w:rsidTr="00D76798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005BCFDD" w14:textId="77777777" w:rsidR="003E3C77" w:rsidRPr="00ED77BD" w:rsidRDefault="003E3C77" w:rsidP="00D76798">
            <w:pPr>
              <w:jc w:val="center"/>
              <w:rPr>
                <w:rStyle w:val="a8"/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5D41FC84" w14:textId="77777777" w:rsidR="00D76798" w:rsidRPr="00D76798" w:rsidRDefault="00D76798" w:rsidP="00D767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ОБЪЕКТНИ ҚУРИШНИНГ УМУМИЙ ЖАДВАЛИ</w:t>
            </w:r>
            <w:r w:rsidRPr="00D767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76798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 xml:space="preserve">(объект </w:t>
            </w:r>
            <w:proofErr w:type="spellStart"/>
            <w:r w:rsidRPr="00D76798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D76798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76798" w:rsidRPr="00D76798" w14:paraId="5E29E525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669CF64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Т/р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64461C46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Ишлар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70B78750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Ишларни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бошлаш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BCEF8C1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Ишларни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тугатиш</w:t>
            </w:r>
            <w:proofErr w:type="spellEnd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hAnsi="Times New Roman"/>
                <w:color w:val="000000"/>
                <w:sz w:val="20"/>
                <w:szCs w:val="20"/>
              </w:rPr>
              <w:t>санаси</w:t>
            </w:r>
            <w:proofErr w:type="spellEnd"/>
          </w:p>
        </w:tc>
      </w:tr>
      <w:tr w:rsidR="00D76798" w:rsidRPr="00D76798" w14:paraId="3F4EB6FD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08489EE7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6504AAF4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7F1F44D4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6DA07252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70A66AC7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9CEE3D9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107D0CE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3E22190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552E6A07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440F8D25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B5B4523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7781879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54F9BBF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A16B44C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254E0CD3" w14:textId="77777777" w:rsidTr="003E3C77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3A68D80" w14:textId="77777777" w:rsidR="00D76798" w:rsidRPr="00D76798" w:rsidRDefault="00D76798" w:rsidP="006F3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6798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78F1ECC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589D53E5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6A86597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3E259E" w14:paraId="5D1FFCFE" w14:textId="77777777" w:rsidTr="00D76798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3E4ED29E" w14:textId="77777777" w:rsidR="00D76798" w:rsidRDefault="00D76798" w:rsidP="00D76798">
            <w:pPr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</w:pPr>
          </w:p>
          <w:p w14:paraId="70F2DAAD" w14:textId="77777777" w:rsidR="00D76798" w:rsidRDefault="00D76798" w:rsidP="00D7679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  <w:t>Изоҳ:</w:t>
            </w:r>
            <w:r w:rsidRPr="00D767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z-Cyrl-UZ"/>
              </w:rPr>
              <w:br/>
            </w:r>
            <w:r w:rsidRPr="00D767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  <w:t>1. Жадвалда ишларнинг умумий дастури (объектнинг хусусиятларини ҳисобга олган ҳолда) ва уларни бажариш муддатлари келтирилган.</w:t>
            </w:r>
          </w:p>
          <w:p w14:paraId="2FBC128A" w14:textId="77777777" w:rsidR="00D76798" w:rsidRPr="00D76798" w:rsidRDefault="00D76798" w:rsidP="00D76798">
            <w:pPr>
              <w:jc w:val="both"/>
              <w:rPr>
                <w:rFonts w:ascii="Times New Roman" w:eastAsia="Times New Roman" w:hAnsi="Times New Roman"/>
                <w:color w:val="000000"/>
                <w:lang w:val="uz-Cyrl-UZ"/>
              </w:rPr>
            </w:pPr>
            <w:r w:rsidRPr="00D767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/>
              </w:rPr>
              <w:t>2. Объектни қуришнинг умумий жадвалида белгиланган муддатларда ишларнинг алоҳида босқичлари тугатилгандан ва қабул қилингандан сўнг қурилиш-пудрат ташкилотининг қўшимча мажбуриятлари буюртмачи билан тузилган шартномага қўшимча келишув билан расмийлаштирилади.</w:t>
            </w:r>
          </w:p>
        </w:tc>
      </w:tr>
      <w:tr w:rsidR="00D76798" w:rsidRPr="00D76798" w14:paraId="27785B5D" w14:textId="77777777" w:rsidTr="003E3C77">
        <w:tc>
          <w:tcPr>
            <w:tcW w:w="3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F397357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Ташкилот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раҳбарининг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имзоси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: 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A0AACFE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169B64B1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62729AAA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61A446B8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7639EE50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76798" w:rsidRPr="00D76798" w14:paraId="17B618B1" w14:textId="77777777" w:rsidTr="003E3C77">
        <w:tc>
          <w:tcPr>
            <w:tcW w:w="3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F55D2A1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Тузилган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санаси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20___ </w:t>
            </w:r>
            <w:proofErr w:type="spellStart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>йил</w:t>
            </w:r>
            <w:proofErr w:type="spellEnd"/>
            <w:r w:rsidRPr="00D76798">
              <w:rPr>
                <w:rStyle w:val="a8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«_____» 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2A7E4E25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A88AB3F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781E6680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" w:type="dxa"/>
              <w:left w:w="21" w:type="dxa"/>
              <w:bottom w:w="11" w:type="dxa"/>
              <w:right w:w="11" w:type="dxa"/>
            </w:tcMar>
            <w:hideMark/>
          </w:tcPr>
          <w:p w14:paraId="414F3BCE" w14:textId="77777777" w:rsidR="00D76798" w:rsidRPr="00D76798" w:rsidRDefault="00D76798" w:rsidP="006F3A5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FDE0363" w14:textId="77777777" w:rsidR="00D800C6" w:rsidRPr="00CD581F" w:rsidRDefault="00D800C6" w:rsidP="003E3C77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sectPr w:rsidR="00D800C6" w:rsidRPr="00CD581F" w:rsidSect="00ED77BD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D1"/>
    <w:multiLevelType w:val="hybridMultilevel"/>
    <w:tmpl w:val="F460B16A"/>
    <w:lvl w:ilvl="0" w:tplc="ED22C5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FE581E"/>
    <w:multiLevelType w:val="hybridMultilevel"/>
    <w:tmpl w:val="AF7839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8722E0"/>
    <w:multiLevelType w:val="hybridMultilevel"/>
    <w:tmpl w:val="1A00C2AE"/>
    <w:lvl w:ilvl="0" w:tplc="FA5098F2">
      <w:start w:val="3"/>
      <w:numFmt w:val="bullet"/>
      <w:lvlText w:val="-"/>
      <w:lvlJc w:val="left"/>
      <w:pPr>
        <w:ind w:left="5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42" w:hanging="360"/>
      </w:pPr>
      <w:rPr>
        <w:rFonts w:ascii="Wingdings" w:hAnsi="Wingdings" w:hint="default"/>
      </w:rPr>
    </w:lvl>
  </w:abstractNum>
  <w:abstractNum w:abstractNumId="3" w15:restartNumberingAfterBreak="0">
    <w:nsid w:val="3A85482F"/>
    <w:multiLevelType w:val="hybridMultilevel"/>
    <w:tmpl w:val="405C8250"/>
    <w:lvl w:ilvl="0" w:tplc="0EB0D5DE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0E9218F"/>
    <w:multiLevelType w:val="multilevel"/>
    <w:tmpl w:val="7A44FD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B2"/>
    <w:rsid w:val="00022953"/>
    <w:rsid w:val="0007124F"/>
    <w:rsid w:val="00097E68"/>
    <w:rsid w:val="000D27EC"/>
    <w:rsid w:val="001119DC"/>
    <w:rsid w:val="0016590C"/>
    <w:rsid w:val="001A6AFE"/>
    <w:rsid w:val="001E3447"/>
    <w:rsid w:val="002341E3"/>
    <w:rsid w:val="0027609C"/>
    <w:rsid w:val="0028523E"/>
    <w:rsid w:val="00291563"/>
    <w:rsid w:val="00355A50"/>
    <w:rsid w:val="00382751"/>
    <w:rsid w:val="003A2116"/>
    <w:rsid w:val="003E259E"/>
    <w:rsid w:val="003E3C77"/>
    <w:rsid w:val="003F20C4"/>
    <w:rsid w:val="004F5D7D"/>
    <w:rsid w:val="00581EA8"/>
    <w:rsid w:val="005E2981"/>
    <w:rsid w:val="00664F61"/>
    <w:rsid w:val="00684C32"/>
    <w:rsid w:val="006D18E2"/>
    <w:rsid w:val="00704D6B"/>
    <w:rsid w:val="0073165B"/>
    <w:rsid w:val="00734466"/>
    <w:rsid w:val="00771BF0"/>
    <w:rsid w:val="00791898"/>
    <w:rsid w:val="007968A2"/>
    <w:rsid w:val="007A7B18"/>
    <w:rsid w:val="007D357B"/>
    <w:rsid w:val="007E0779"/>
    <w:rsid w:val="007F27D4"/>
    <w:rsid w:val="008070FE"/>
    <w:rsid w:val="008339D1"/>
    <w:rsid w:val="008461F4"/>
    <w:rsid w:val="0085024A"/>
    <w:rsid w:val="0087566D"/>
    <w:rsid w:val="008A5CAC"/>
    <w:rsid w:val="008C1CEF"/>
    <w:rsid w:val="008D3989"/>
    <w:rsid w:val="008D5D26"/>
    <w:rsid w:val="008E0D8A"/>
    <w:rsid w:val="009214E7"/>
    <w:rsid w:val="009850B5"/>
    <w:rsid w:val="009F0252"/>
    <w:rsid w:val="00A16BBE"/>
    <w:rsid w:val="00A806E7"/>
    <w:rsid w:val="00A95DB6"/>
    <w:rsid w:val="00AF1FE5"/>
    <w:rsid w:val="00B715A0"/>
    <w:rsid w:val="00BA4333"/>
    <w:rsid w:val="00BC0BB7"/>
    <w:rsid w:val="00BF54F0"/>
    <w:rsid w:val="00C1186A"/>
    <w:rsid w:val="00C247B9"/>
    <w:rsid w:val="00C53D46"/>
    <w:rsid w:val="00C72D17"/>
    <w:rsid w:val="00CC43A4"/>
    <w:rsid w:val="00CD581F"/>
    <w:rsid w:val="00CE48FF"/>
    <w:rsid w:val="00D560B4"/>
    <w:rsid w:val="00D76798"/>
    <w:rsid w:val="00D800C6"/>
    <w:rsid w:val="00DB3B56"/>
    <w:rsid w:val="00DD0F2E"/>
    <w:rsid w:val="00E41097"/>
    <w:rsid w:val="00E47323"/>
    <w:rsid w:val="00E54D92"/>
    <w:rsid w:val="00E8367A"/>
    <w:rsid w:val="00ED77BD"/>
    <w:rsid w:val="00EE52DA"/>
    <w:rsid w:val="00F0133A"/>
    <w:rsid w:val="00F41E94"/>
    <w:rsid w:val="00FC00B2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3816D"/>
  <w15:docId w15:val="{94433517-889E-4118-9B0E-1622379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AFE"/>
    <w:pPr>
      <w:ind w:left="720"/>
      <w:contextualSpacing/>
    </w:pPr>
  </w:style>
  <w:style w:type="table" w:styleId="a4">
    <w:name w:val="Table Grid"/>
    <w:basedOn w:val="a1"/>
    <w:locked/>
    <w:rsid w:val="00CD58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D581F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16"/>
    <w:rPr>
      <w:rFonts w:ascii="Tahoma" w:hAnsi="Tahoma" w:cs="Tahoma"/>
      <w:sz w:val="16"/>
      <w:szCs w:val="16"/>
      <w:lang w:eastAsia="en-US"/>
    </w:rPr>
  </w:style>
  <w:style w:type="character" w:styleId="a8">
    <w:name w:val="Strong"/>
    <w:basedOn w:val="a0"/>
    <w:uiPriority w:val="22"/>
    <w:qFormat/>
    <w:locked/>
    <w:rsid w:val="00D76798"/>
    <w:rPr>
      <w:b/>
      <w:bCs/>
    </w:rPr>
  </w:style>
  <w:style w:type="character" w:styleId="a9">
    <w:name w:val="Emphasis"/>
    <w:basedOn w:val="a0"/>
    <w:uiPriority w:val="20"/>
    <w:qFormat/>
    <w:locked/>
    <w:rsid w:val="00D76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9EC7-0200-4492-BFB1-06889C25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IM</dc:creator>
  <cp:lastModifiedBy>LASER</cp:lastModifiedBy>
  <cp:revision>3</cp:revision>
  <cp:lastPrinted>2021-06-14T03:33:00Z</cp:lastPrinted>
  <dcterms:created xsi:type="dcterms:W3CDTF">2022-03-30T06:15:00Z</dcterms:created>
  <dcterms:modified xsi:type="dcterms:W3CDTF">2022-04-11T11:12:00Z</dcterms:modified>
</cp:coreProperties>
</file>