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ижодий уюшмаси    (ташкилот,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“ЯНГИОБОД” КТНЧК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А.А.Ҳакимов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иловада келтирилади.</w:t>
      </w:r>
    </w:p>
    <w:p w:rsidR="002971A5" w:rsidRPr="0026194C" w:rsidRDefault="002971A5" w:rsidP="002971A5">
      <w:pPr>
        <w:jc w:val="both"/>
        <w:rPr>
          <w:szCs w:val="18"/>
          <w:lang w:val="uz-Cyrl-UZ"/>
        </w:rPr>
      </w:pPr>
      <w:r w:rsidRPr="0026194C">
        <w:rPr>
          <w:szCs w:val="18"/>
          <w:lang w:val="uz-Cyrl-UZ"/>
        </w:rPr>
        <w:t>1.3. “Хизматлар”ни кўрсатиш муддати 20</w:t>
      </w:r>
      <w:r>
        <w:rPr>
          <w:szCs w:val="18"/>
          <w:lang w:val="uz-Cyrl-UZ"/>
        </w:rPr>
        <w:t>22</w:t>
      </w:r>
      <w:r w:rsidRPr="0026194C">
        <w:rPr>
          <w:szCs w:val="18"/>
          <w:lang w:val="uz-Cyrl-UZ"/>
        </w:rPr>
        <w:t xml:space="preserve"> йил “</w:t>
      </w:r>
      <w:r w:rsidRPr="00CD5D65">
        <w:rPr>
          <w:szCs w:val="18"/>
          <w:lang w:val="uz-Cyrl-UZ"/>
        </w:rPr>
        <w:t>_____</w:t>
      </w:r>
      <w:r w:rsidRPr="0026194C">
        <w:rPr>
          <w:szCs w:val="18"/>
          <w:lang w:val="uz-Cyrl-UZ"/>
        </w:rPr>
        <w:t>” “</w:t>
      </w:r>
      <w:r>
        <w:rPr>
          <w:szCs w:val="18"/>
          <w:lang w:val="uz-Cyrl-UZ"/>
        </w:rPr>
        <w:t xml:space="preserve">_______” </w:t>
      </w:r>
      <w:r w:rsidRPr="0026194C">
        <w:rPr>
          <w:szCs w:val="18"/>
          <w:lang w:val="uz-Cyrl-UZ"/>
        </w:rPr>
        <w:t>дан 20</w:t>
      </w:r>
      <w:r>
        <w:rPr>
          <w:szCs w:val="18"/>
          <w:lang w:val="uz-Cyrl-UZ"/>
        </w:rPr>
        <w:t>22</w:t>
      </w:r>
      <w:r w:rsidRPr="0026194C">
        <w:rPr>
          <w:szCs w:val="18"/>
          <w:lang w:val="uz-Cyrl-UZ"/>
        </w:rPr>
        <w:t xml:space="preserve"> йил “</w:t>
      </w:r>
      <w:r>
        <w:rPr>
          <w:szCs w:val="18"/>
          <w:lang w:val="uz-Cyrl-UZ"/>
        </w:rPr>
        <w:t>31</w:t>
      </w:r>
      <w:r w:rsidRPr="0026194C">
        <w:rPr>
          <w:szCs w:val="18"/>
          <w:lang w:val="uz-Cyrl-UZ"/>
        </w:rPr>
        <w:t>”“</w:t>
      </w:r>
      <w:r>
        <w:rPr>
          <w:szCs w:val="18"/>
          <w:lang w:val="uz-Cyrl-UZ"/>
        </w:rPr>
        <w:t>декабр</w:t>
      </w:r>
      <w:r w:rsidRPr="0026194C">
        <w:rPr>
          <w:szCs w:val="18"/>
          <w:lang w:val="uz-Cyrl-UZ"/>
        </w:rPr>
        <w:t>” гача амалга 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“ЯНГИОБОД” КТНЧК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“ЯНГИОБОД” КТНЧК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w:t>
      </w:r>
      <w:r w:rsidRPr="00873B12">
        <w:rPr>
          <w:sz w:val="24"/>
          <w:szCs w:val="24"/>
          <w:lang w:val="uz-Cyrl-UZ"/>
        </w:rPr>
        <w:lastRenderedPageBreak/>
        <w:t>"Хизматлар"га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tbl>
      <w:tblPr>
        <w:tblW w:w="0" w:type="auto"/>
        <w:tblLook w:val="04A0" w:firstRow="1" w:lastRow="0" w:firstColumn="1" w:lastColumn="0" w:noHBand="0" w:noVBand="1"/>
      </w:tblPr>
      <w:tblGrid>
        <w:gridCol w:w="6091"/>
        <w:gridCol w:w="3254"/>
      </w:tblGrid>
      <w:tr w:rsidR="002971A5" w:rsidRPr="0069513D" w:rsidTr="00D751B0">
        <w:tc>
          <w:tcPr>
            <w:tcW w:w="6091" w:type="dxa"/>
            <w:shd w:val="clear" w:color="auto" w:fill="auto"/>
          </w:tcPr>
          <w:p w:rsidR="002971A5" w:rsidRPr="0069513D" w:rsidRDefault="002971A5" w:rsidP="00D751B0">
            <w:pPr>
              <w:spacing w:after="160" w:line="264" w:lineRule="auto"/>
              <w:rPr>
                <w:rFonts w:ascii="Calibri" w:eastAsia="Calibri" w:hAnsi="Calibri"/>
                <w:sz w:val="22"/>
                <w:lang w:val="uz-Cyrl-UZ"/>
              </w:rPr>
            </w:pPr>
          </w:p>
        </w:tc>
        <w:tc>
          <w:tcPr>
            <w:tcW w:w="3254" w:type="dxa"/>
            <w:shd w:val="clear" w:color="auto" w:fill="auto"/>
          </w:tcPr>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Default="002971A5" w:rsidP="00D751B0">
            <w:pPr>
              <w:spacing w:after="160" w:line="264" w:lineRule="auto"/>
              <w:jc w:val="center"/>
              <w:rPr>
                <w:rFonts w:eastAsia="Calibri"/>
                <w:sz w:val="22"/>
                <w:lang w:val="uz-Cyrl-UZ"/>
              </w:rPr>
            </w:pPr>
          </w:p>
          <w:p w:rsidR="002971A5" w:rsidRPr="00D017B1" w:rsidRDefault="002971A5" w:rsidP="00D751B0">
            <w:pPr>
              <w:spacing w:after="160" w:line="264" w:lineRule="auto"/>
              <w:jc w:val="center"/>
              <w:rPr>
                <w:rFonts w:eastAsia="Calibri"/>
                <w:sz w:val="22"/>
                <w:lang w:val="uz-Cyrl-UZ"/>
              </w:rPr>
            </w:pPr>
          </w:p>
          <w:p w:rsidR="002971A5" w:rsidRDefault="002971A5" w:rsidP="00D751B0">
            <w:pPr>
              <w:spacing w:after="160" w:line="264" w:lineRule="auto"/>
              <w:jc w:val="center"/>
              <w:rPr>
                <w:rFonts w:eastAsia="Calibri"/>
                <w:sz w:val="22"/>
                <w:lang w:val="uz-Cyrl-UZ"/>
              </w:rPr>
            </w:pPr>
            <w:r>
              <w:rPr>
                <w:rFonts w:eastAsia="Calibri"/>
                <w:sz w:val="22"/>
                <w:lang w:val="uz-Cyrl-UZ"/>
              </w:rPr>
              <w:t>2022</w:t>
            </w:r>
            <w:r w:rsidRPr="0069513D">
              <w:rPr>
                <w:rFonts w:eastAsia="Calibri"/>
                <w:sz w:val="22"/>
                <w:lang w:val="uz-Cyrl-UZ"/>
              </w:rPr>
              <w:t xml:space="preserve"> йил </w:t>
            </w:r>
            <w:r w:rsidRPr="0069513D">
              <w:rPr>
                <w:rFonts w:eastAsia="Calibri"/>
                <w:sz w:val="22"/>
                <w:lang w:val="uz-Latn-UZ"/>
              </w:rPr>
              <w:t>___</w:t>
            </w:r>
            <w:r w:rsidRPr="0069513D">
              <w:rPr>
                <w:rFonts w:eastAsia="Calibri"/>
                <w:sz w:val="22"/>
                <w:lang w:val="uz-Cyrl-UZ"/>
              </w:rPr>
              <w:t xml:space="preserve"> </w:t>
            </w:r>
            <w:r w:rsidRPr="0069513D">
              <w:rPr>
                <w:rFonts w:eastAsia="Calibri"/>
                <w:sz w:val="22"/>
                <w:lang w:val="uz-Latn-UZ"/>
              </w:rPr>
              <w:t>________</w:t>
            </w:r>
            <w:r w:rsidRPr="0069513D">
              <w:rPr>
                <w:rFonts w:eastAsia="Calibri"/>
                <w:sz w:val="22"/>
                <w:lang w:val="uz-Cyrl-UZ"/>
              </w:rPr>
              <w:t xml:space="preserve">даги </w:t>
            </w:r>
          </w:p>
          <w:p w:rsidR="002971A5" w:rsidRPr="0069513D" w:rsidRDefault="002971A5" w:rsidP="00D751B0">
            <w:pPr>
              <w:spacing w:after="160" w:line="264" w:lineRule="auto"/>
              <w:rPr>
                <w:rFonts w:eastAsia="Calibri"/>
                <w:sz w:val="22"/>
                <w:lang w:val="uz-Cyrl-UZ"/>
              </w:rPr>
            </w:pPr>
            <w:r>
              <w:rPr>
                <w:rFonts w:eastAsia="Calibri"/>
                <w:sz w:val="22"/>
                <w:lang w:val="uz-Cyrl-UZ"/>
              </w:rPr>
              <w:t xml:space="preserve">№ </w:t>
            </w:r>
            <w:r>
              <w:rPr>
                <w:rFonts w:eastAsia="Calibri"/>
                <w:sz w:val="22"/>
              </w:rPr>
              <w:t>_</w:t>
            </w:r>
            <w:r>
              <w:rPr>
                <w:rFonts w:eastAsia="Calibri"/>
                <w:sz w:val="22"/>
                <w:lang w:val="uz-Cyrl-UZ"/>
              </w:rPr>
              <w:t>-со</w:t>
            </w:r>
            <w:r w:rsidRPr="0069513D">
              <w:rPr>
                <w:rFonts w:eastAsia="Calibri"/>
                <w:sz w:val="22"/>
                <w:lang w:val="uz-Cyrl-UZ"/>
              </w:rPr>
              <w:t>нли шартномага 1-илова</w:t>
            </w:r>
          </w:p>
        </w:tc>
      </w:tr>
    </w:tbl>
    <w:p w:rsidR="002971A5" w:rsidRPr="00F41955" w:rsidRDefault="002971A5" w:rsidP="002971A5">
      <w:pPr>
        <w:spacing w:line="264" w:lineRule="auto"/>
        <w:rPr>
          <w:rFonts w:eastAsia="Calibri"/>
          <w:b/>
          <w:sz w:val="22"/>
          <w:lang w:val="uz-Cyrl-UZ"/>
        </w:rPr>
      </w:pPr>
    </w:p>
    <w:p w:rsidR="002971A5" w:rsidRPr="00051AF5" w:rsidRDefault="002971A5" w:rsidP="002971A5">
      <w:pPr>
        <w:spacing w:after="160" w:line="259" w:lineRule="auto"/>
        <w:jc w:val="center"/>
        <w:rPr>
          <w:rFonts w:eastAsia="Calibri"/>
          <w:b/>
          <w:bCs/>
          <w:sz w:val="22"/>
        </w:rPr>
      </w:pPr>
      <w:r w:rsidRPr="00CC7B8E">
        <w:rPr>
          <w:rFonts w:eastAsia="Calibri"/>
          <w:b/>
          <w:bCs/>
          <w:sz w:val="22"/>
        </w:rPr>
        <w:t xml:space="preserve">С </w:t>
      </w:r>
      <w:proofErr w:type="gramStart"/>
      <w:r w:rsidRPr="00CC7B8E">
        <w:rPr>
          <w:rFonts w:eastAsia="Calibri"/>
          <w:b/>
          <w:bCs/>
          <w:sz w:val="22"/>
        </w:rPr>
        <w:t>П</w:t>
      </w:r>
      <w:proofErr w:type="gramEnd"/>
      <w:r w:rsidRPr="00CC7B8E">
        <w:rPr>
          <w:rFonts w:eastAsia="Calibri"/>
          <w:b/>
          <w:bCs/>
          <w:sz w:val="22"/>
        </w:rPr>
        <w:t xml:space="preserve"> Е Ц И Ф И К А Ц И Я</w:t>
      </w:r>
    </w:p>
    <w:p w:rsidR="004B65BA" w:rsidRPr="004B65BA" w:rsidRDefault="005D739A" w:rsidP="00D106F9">
      <w:pPr>
        <w:numPr>
          <w:ilvl w:val="0"/>
          <w:numId w:val="2"/>
        </w:numPr>
        <w:jc w:val="both"/>
        <w:rPr>
          <w:b/>
          <w:color w:val="000000"/>
          <w:sz w:val="24"/>
          <w:szCs w:val="24"/>
          <w:lang w:val="uz-Cyrl-UZ"/>
        </w:rPr>
      </w:pPr>
      <w:r w:rsidRPr="005D739A">
        <w:rPr>
          <w:sz w:val="24"/>
          <w:szCs w:val="24"/>
          <w:lang w:val="uz-Cyrl-UZ"/>
        </w:rPr>
        <w:t xml:space="preserve">Махсус қишлоқ хужалиги техникаларининг хизматлари </w:t>
      </w:r>
      <w:r w:rsidR="00D106F9" w:rsidRPr="00D106F9">
        <w:rPr>
          <w:sz w:val="24"/>
          <w:szCs w:val="24"/>
          <w:lang w:val="uz-Cyrl-UZ"/>
        </w:rPr>
        <w:t>Янги Обод чорва комплексига тегишли 240 га  ерларда такрорий экишлар хизматлари сиелкада,  ёқилғи буюртамачи томонидан берилади.</w:t>
      </w:r>
      <w:r w:rsidR="00AA0700">
        <w:rPr>
          <w:sz w:val="24"/>
          <w:szCs w:val="24"/>
          <w:lang w:val="uz-Cyrl-UZ"/>
        </w:rPr>
        <w:t xml:space="preserve"> </w:t>
      </w:r>
      <w:bookmarkStart w:id="0" w:name="_GoBack"/>
      <w:bookmarkEnd w:id="0"/>
      <w:r w:rsidR="004B65BA">
        <w:rPr>
          <w:sz w:val="24"/>
          <w:szCs w:val="24"/>
          <w:lang w:val="uz-Cyrl-UZ"/>
        </w:rPr>
        <w:t>Ёқилғи буюртмачи томонидан таъминланади.</w:t>
      </w:r>
      <w:r w:rsidR="00E31669">
        <w:rPr>
          <w:sz w:val="24"/>
          <w:szCs w:val="24"/>
          <w:lang w:val="uz-Cyrl-UZ"/>
        </w:rPr>
        <w:t xml:space="preserve"> </w:t>
      </w:r>
      <w:r w:rsidR="004B65BA">
        <w:rPr>
          <w:sz w:val="24"/>
          <w:szCs w:val="24"/>
          <w:lang w:val="uz-Cyrl-UZ"/>
        </w:rPr>
        <w:t>Хизматлар шартнома имзоланган кунда</w:t>
      </w:r>
      <w:r w:rsidR="00432E7E">
        <w:rPr>
          <w:sz w:val="24"/>
          <w:szCs w:val="24"/>
          <w:lang w:val="uz-Cyrl-UZ"/>
        </w:rPr>
        <w:t>н</w:t>
      </w:r>
      <w:r w:rsidR="004B65BA">
        <w:rPr>
          <w:sz w:val="24"/>
          <w:szCs w:val="24"/>
          <w:lang w:val="uz-Cyrl-UZ"/>
        </w:rPr>
        <w:t xml:space="preserve"> бошлаб 1 йил мобайнида хизматлар бажарилади.</w:t>
      </w:r>
    </w:p>
    <w:p w:rsidR="004B65BA" w:rsidRPr="004B65BA" w:rsidRDefault="004B65BA" w:rsidP="004B65BA">
      <w:pPr>
        <w:ind w:left="-426"/>
        <w:jc w:val="both"/>
        <w:rPr>
          <w:b/>
          <w:color w:val="000000"/>
          <w:sz w:val="24"/>
          <w:szCs w:val="24"/>
          <w:lang w:val="uz-Cyrl-UZ"/>
        </w:rPr>
      </w:pPr>
    </w:p>
    <w:p w:rsidR="002971A5" w:rsidRDefault="002971A5" w:rsidP="004B65BA">
      <w:pPr>
        <w:ind w:left="-66"/>
        <w:jc w:val="both"/>
        <w:rPr>
          <w:b/>
          <w:color w:val="000000"/>
          <w:sz w:val="24"/>
          <w:szCs w:val="24"/>
          <w:lang w:val="uz-Cyrl-UZ"/>
        </w:rPr>
      </w:pPr>
      <w:r>
        <w:rPr>
          <w:sz w:val="24"/>
          <w:szCs w:val="24"/>
          <w:lang w:val="uz-Cyrl-UZ"/>
        </w:rPr>
        <w:t xml:space="preserve">Жами хизматлар </w:t>
      </w:r>
      <w:r w:rsidR="00D106F9">
        <w:rPr>
          <w:b/>
          <w:color w:val="000000"/>
          <w:sz w:val="24"/>
          <w:szCs w:val="24"/>
          <w:lang w:val="uz-Cyrl-UZ"/>
        </w:rPr>
        <w:t>97 229 520</w:t>
      </w:r>
      <w:r w:rsidR="009751C2">
        <w:rPr>
          <w:b/>
          <w:color w:val="000000"/>
          <w:sz w:val="24"/>
          <w:szCs w:val="24"/>
          <w:lang w:val="uz-Cyrl-UZ"/>
        </w:rPr>
        <w:t xml:space="preserve"> </w:t>
      </w:r>
      <w:r w:rsidR="005D739A">
        <w:rPr>
          <w:b/>
          <w:color w:val="000000"/>
          <w:sz w:val="24"/>
          <w:szCs w:val="24"/>
          <w:lang w:val="uz-Cyrl-UZ"/>
        </w:rPr>
        <w:t>(</w:t>
      </w:r>
      <w:r w:rsidR="008A5F65">
        <w:rPr>
          <w:b/>
          <w:color w:val="000000"/>
          <w:sz w:val="24"/>
          <w:szCs w:val="24"/>
          <w:lang w:val="uz-Cyrl-UZ"/>
        </w:rPr>
        <w:t>тўқ</w:t>
      </w:r>
      <w:r w:rsidR="00D106F9">
        <w:rPr>
          <w:b/>
          <w:color w:val="000000"/>
          <w:sz w:val="24"/>
          <w:szCs w:val="24"/>
          <w:lang w:val="uz-Cyrl-UZ"/>
        </w:rPr>
        <w:t>сон</w:t>
      </w:r>
      <w:r w:rsidR="00BE11D5">
        <w:rPr>
          <w:b/>
          <w:color w:val="000000"/>
          <w:sz w:val="24"/>
          <w:szCs w:val="24"/>
          <w:lang w:val="uz-Cyrl-UZ"/>
        </w:rPr>
        <w:t xml:space="preserve"> </w:t>
      </w:r>
      <w:r w:rsidR="00D106F9">
        <w:rPr>
          <w:b/>
          <w:color w:val="000000"/>
          <w:sz w:val="24"/>
          <w:szCs w:val="24"/>
          <w:lang w:val="uz-Cyrl-UZ"/>
        </w:rPr>
        <w:t xml:space="preserve">етти </w:t>
      </w:r>
      <w:r w:rsidR="00BE11D5">
        <w:rPr>
          <w:b/>
          <w:color w:val="000000"/>
          <w:sz w:val="24"/>
          <w:szCs w:val="24"/>
          <w:lang w:val="uz-Cyrl-UZ"/>
        </w:rPr>
        <w:t xml:space="preserve">миллион </w:t>
      </w:r>
      <w:r w:rsidR="00D106F9">
        <w:rPr>
          <w:b/>
          <w:color w:val="000000"/>
          <w:sz w:val="24"/>
          <w:szCs w:val="24"/>
          <w:lang w:val="uz-Cyrl-UZ"/>
        </w:rPr>
        <w:t>икки</w:t>
      </w:r>
      <w:r w:rsidR="008A5F65">
        <w:rPr>
          <w:b/>
          <w:color w:val="000000"/>
          <w:sz w:val="24"/>
          <w:szCs w:val="24"/>
          <w:lang w:val="uz-Cyrl-UZ"/>
        </w:rPr>
        <w:t xml:space="preserve"> юз </w:t>
      </w:r>
      <w:r w:rsidR="00D106F9">
        <w:rPr>
          <w:b/>
          <w:color w:val="000000"/>
          <w:sz w:val="24"/>
          <w:szCs w:val="24"/>
          <w:lang w:val="uz-Cyrl-UZ"/>
        </w:rPr>
        <w:t>йигирма тўққиз</w:t>
      </w:r>
      <w:r w:rsidR="008A5F65">
        <w:rPr>
          <w:b/>
          <w:color w:val="000000"/>
          <w:sz w:val="24"/>
          <w:szCs w:val="24"/>
          <w:lang w:val="uz-Cyrl-UZ"/>
        </w:rPr>
        <w:t xml:space="preserve"> минг </w:t>
      </w:r>
      <w:r w:rsidR="00D106F9">
        <w:rPr>
          <w:b/>
          <w:color w:val="000000"/>
          <w:sz w:val="24"/>
          <w:szCs w:val="24"/>
          <w:lang w:val="uz-Cyrl-UZ"/>
        </w:rPr>
        <w:t>беш</w:t>
      </w:r>
      <w:r w:rsidR="00196E23">
        <w:rPr>
          <w:b/>
          <w:color w:val="000000"/>
          <w:sz w:val="24"/>
          <w:szCs w:val="24"/>
          <w:lang w:val="uz-Cyrl-UZ"/>
        </w:rPr>
        <w:t xml:space="preserve"> юз</w:t>
      </w:r>
      <w:r w:rsidR="00D106F9">
        <w:rPr>
          <w:b/>
          <w:color w:val="000000"/>
          <w:sz w:val="24"/>
          <w:szCs w:val="24"/>
          <w:lang w:val="uz-Cyrl-UZ"/>
        </w:rPr>
        <w:t xml:space="preserve"> йигирма</w:t>
      </w:r>
      <w:r>
        <w:rPr>
          <w:b/>
          <w:color w:val="000000"/>
          <w:sz w:val="24"/>
          <w:szCs w:val="24"/>
          <w:lang w:val="uz-Cyrl-UZ"/>
        </w:rPr>
        <w:t xml:space="preserve">) </w:t>
      </w:r>
      <w:r w:rsidRPr="00B6670F">
        <w:rPr>
          <w:b/>
          <w:color w:val="000000"/>
          <w:sz w:val="24"/>
          <w:szCs w:val="24"/>
          <w:lang w:val="uz-Cyrl-UZ"/>
        </w:rPr>
        <w:t>с</w:t>
      </w:r>
      <w:r w:rsidRPr="00BF7D6B">
        <w:rPr>
          <w:b/>
          <w:color w:val="000000"/>
          <w:sz w:val="24"/>
          <w:szCs w:val="24"/>
          <w:lang w:val="uz-Cyrl-UZ"/>
        </w:rPr>
        <w:t>ў</w:t>
      </w:r>
      <w:r w:rsidRPr="00B6670F">
        <w:rPr>
          <w:b/>
          <w:color w:val="000000"/>
          <w:sz w:val="24"/>
          <w:szCs w:val="24"/>
          <w:lang w:val="uz-Cyrl-UZ"/>
        </w:rPr>
        <w:t>м</w:t>
      </w:r>
      <w:r>
        <w:rPr>
          <w:b/>
          <w:color w:val="000000"/>
          <w:sz w:val="24"/>
          <w:szCs w:val="24"/>
          <w:lang w:val="uz-Cyrl-UZ"/>
        </w:rPr>
        <w:t>.</w:t>
      </w:r>
    </w:p>
    <w:p w:rsidR="002971A5" w:rsidRPr="00D017B1" w:rsidRDefault="002971A5" w:rsidP="002971A5">
      <w:pPr>
        <w:jc w:val="both"/>
        <w:rPr>
          <w:b/>
          <w:lang w:val="uz-Cyrl-UZ"/>
        </w:rPr>
      </w:pPr>
    </w:p>
    <w:p w:rsidR="002971A5" w:rsidRPr="00B6670F" w:rsidRDefault="002971A5" w:rsidP="002971A5">
      <w:pPr>
        <w:rPr>
          <w:sz w:val="20"/>
          <w:szCs w:val="20"/>
          <w:lang w:val="uz-Cyrl-UZ"/>
        </w:rPr>
      </w:pPr>
    </w:p>
    <w:p w:rsidR="002971A5" w:rsidRPr="00B6670F" w:rsidRDefault="002971A5" w:rsidP="002971A5">
      <w:pPr>
        <w:spacing w:after="160" w:line="259" w:lineRule="auto"/>
        <w:jc w:val="center"/>
        <w:rPr>
          <w:rFonts w:eastAsia="Calibri"/>
          <w:b/>
          <w:sz w:val="22"/>
          <w:lang w:val="uz-Cyrl-UZ"/>
        </w:rPr>
      </w:pPr>
    </w:p>
    <w:p w:rsidR="002971A5" w:rsidRPr="00B6670F" w:rsidRDefault="002971A5" w:rsidP="002971A5">
      <w:pPr>
        <w:spacing w:after="160" w:line="259" w:lineRule="auto"/>
        <w:jc w:val="center"/>
        <w:rPr>
          <w:rFonts w:eastAsia="Calibri"/>
          <w:b/>
          <w:sz w:val="22"/>
          <w:highlight w:val="yellow"/>
          <w:lang w:val="uz-Cyrl-UZ"/>
        </w:rPr>
      </w:pPr>
      <w:r w:rsidRPr="00B6670F">
        <w:rPr>
          <w:rFonts w:eastAsia="Calibri"/>
          <w:b/>
          <w:sz w:val="22"/>
          <w:lang w:val="uz-Cyrl-UZ"/>
        </w:rPr>
        <w:t xml:space="preserve">                               </w:t>
      </w:r>
      <w:r w:rsidRPr="00CA618A">
        <w:rPr>
          <w:rFonts w:eastAsia="Calibri"/>
          <w:b/>
          <w:sz w:val="22"/>
          <w:lang w:val="uz-Cyrl-UZ"/>
        </w:rPr>
        <w:t>Буюртмачи</w:t>
      </w:r>
      <w:r w:rsidRPr="00CA618A">
        <w:rPr>
          <w:rFonts w:eastAsia="Calibri"/>
          <w:b/>
          <w:bCs/>
          <w:sz w:val="22"/>
          <w:lang w:val="uz-Cyrl-UZ"/>
        </w:rPr>
        <w:t>:</w:t>
      </w:r>
    </w:p>
    <w:tbl>
      <w:tblPr>
        <w:tblW w:w="9498" w:type="dxa"/>
        <w:tblLook w:val="00A0" w:firstRow="1" w:lastRow="0" w:firstColumn="1" w:lastColumn="0" w:noHBand="0" w:noVBand="0"/>
      </w:tblPr>
      <w:tblGrid>
        <w:gridCol w:w="4678"/>
        <w:gridCol w:w="4820"/>
      </w:tblGrid>
      <w:tr w:rsidR="002971A5" w:rsidRPr="007C17BD" w:rsidTr="00D751B0">
        <w:tc>
          <w:tcPr>
            <w:tcW w:w="4678" w:type="dxa"/>
          </w:tcPr>
          <w:p w:rsidR="002971A5" w:rsidRPr="00CA618A" w:rsidRDefault="002971A5" w:rsidP="00D751B0">
            <w:pPr>
              <w:jc w:val="both"/>
              <w:rPr>
                <w:rFonts w:eastAsia="Calibri"/>
                <w:sz w:val="22"/>
                <w:lang w:val="uz-Cyrl-UZ"/>
              </w:rPr>
            </w:pPr>
            <w:r w:rsidRPr="00CA618A">
              <w:rPr>
                <w:rFonts w:eastAsia="Calibri"/>
                <w:sz w:val="22"/>
                <w:lang w:val="uz-Cyrl-UZ"/>
              </w:rPr>
              <w:t>Бажарувчи:</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Р/с:__________________________________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Банк реквизитлари: 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МФО 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ИНН: ________________________________</w:t>
            </w:r>
          </w:p>
          <w:p w:rsidR="002971A5" w:rsidRPr="00CA618A" w:rsidRDefault="002971A5" w:rsidP="00D751B0">
            <w:pPr>
              <w:ind w:firstLine="567"/>
              <w:jc w:val="both"/>
              <w:rPr>
                <w:rFonts w:eastAsia="Calibri"/>
                <w:b/>
                <w:bCs/>
                <w:sz w:val="22"/>
                <w:lang w:val="uz-Cyrl-UZ"/>
              </w:rPr>
            </w:pPr>
            <w:r w:rsidRPr="00CA618A">
              <w:rPr>
                <w:rFonts w:eastAsia="Calibri"/>
                <w:sz w:val="22"/>
                <w:lang w:val="uz-Cyrl-UZ"/>
              </w:rPr>
              <w:t>ОКЭД: ___________________________</w:t>
            </w:r>
          </w:p>
          <w:p w:rsidR="002971A5" w:rsidRPr="00974734" w:rsidRDefault="002971A5" w:rsidP="00D751B0">
            <w:pPr>
              <w:spacing w:line="288" w:lineRule="auto"/>
              <w:rPr>
                <w:sz w:val="18"/>
                <w:szCs w:val="18"/>
                <w:lang w:val="uz-Cyrl-UZ"/>
              </w:rPr>
            </w:pPr>
            <w:r w:rsidRPr="00CA618A">
              <w:rPr>
                <w:sz w:val="18"/>
                <w:szCs w:val="18"/>
                <w:lang w:val="uz-Cyrl-UZ"/>
              </w:rPr>
              <w:t>_________________________________</w:t>
            </w:r>
          </w:p>
          <w:p w:rsidR="002971A5" w:rsidRPr="00974734" w:rsidRDefault="002971A5" w:rsidP="00D751B0">
            <w:pPr>
              <w:spacing w:line="288" w:lineRule="auto"/>
              <w:ind w:left="1416"/>
              <w:rPr>
                <w:sz w:val="18"/>
                <w:szCs w:val="18"/>
                <w:lang w:val="uz-Cyrl-UZ"/>
              </w:rPr>
            </w:pPr>
            <w:r w:rsidRPr="00CA618A">
              <w:rPr>
                <w:sz w:val="18"/>
                <w:szCs w:val="18"/>
                <w:lang w:val="uz-Cyrl-UZ"/>
              </w:rPr>
              <w:t xml:space="preserve">(имзо) </w:t>
            </w:r>
          </w:p>
          <w:p w:rsidR="002971A5" w:rsidRPr="00974734" w:rsidRDefault="002971A5" w:rsidP="00D751B0">
            <w:pPr>
              <w:spacing w:line="288" w:lineRule="auto"/>
              <w:rPr>
                <w:sz w:val="18"/>
                <w:szCs w:val="18"/>
                <w:lang w:val="uz-Cyrl-UZ"/>
              </w:rPr>
            </w:pPr>
          </w:p>
          <w:p w:rsidR="002971A5" w:rsidRPr="00974734" w:rsidRDefault="002971A5" w:rsidP="00D751B0">
            <w:pPr>
              <w:spacing w:line="288" w:lineRule="auto"/>
              <w:rPr>
                <w:sz w:val="18"/>
                <w:szCs w:val="18"/>
                <w:lang w:val="uz-Cyrl-UZ"/>
              </w:rPr>
            </w:pPr>
            <w:r w:rsidRPr="00974734">
              <w:rPr>
                <w:sz w:val="18"/>
                <w:szCs w:val="18"/>
                <w:lang w:val="uz-Cyrl-UZ"/>
              </w:rPr>
              <w:t>М.</w:t>
            </w:r>
            <w:r w:rsidRPr="00CA618A">
              <w:rPr>
                <w:sz w:val="18"/>
                <w:szCs w:val="18"/>
                <w:lang w:val="uz-Cyrl-UZ"/>
              </w:rPr>
              <w:t>Ў</w:t>
            </w:r>
            <w:r w:rsidRPr="00974734">
              <w:rPr>
                <w:sz w:val="18"/>
                <w:szCs w:val="18"/>
                <w:lang w:val="uz-Cyrl-UZ"/>
              </w:rPr>
              <w:t>.</w:t>
            </w: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r w:rsidRPr="00974734">
              <w:rPr>
                <w:rFonts w:eastAsia="Calibri"/>
                <w:b/>
                <w:sz w:val="22"/>
                <w:lang w:val="uz-Cyrl-UZ"/>
              </w:rPr>
              <w:t xml:space="preserve">                                                          </w:t>
            </w:r>
          </w:p>
          <w:p w:rsidR="002971A5" w:rsidRPr="00CA618A" w:rsidRDefault="002971A5" w:rsidP="00D751B0">
            <w:pPr>
              <w:ind w:firstLine="567"/>
              <w:jc w:val="both"/>
              <w:rPr>
                <w:rFonts w:eastAsia="Calibri"/>
                <w:sz w:val="22"/>
                <w:lang w:val="uz-Cyrl-UZ"/>
              </w:rPr>
            </w:pPr>
            <w:r w:rsidRPr="00CA618A">
              <w:rPr>
                <w:rFonts w:eastAsia="Calibri"/>
                <w:sz w:val="22"/>
                <w:lang w:val="uz-Cyrl-UZ"/>
              </w:rPr>
              <w:t>_</w:t>
            </w:r>
          </w:p>
          <w:p w:rsidR="002971A5" w:rsidRPr="00CA618A" w:rsidRDefault="002971A5" w:rsidP="00D751B0">
            <w:pPr>
              <w:ind w:firstLine="567"/>
              <w:jc w:val="both"/>
              <w:rPr>
                <w:rFonts w:eastAsia="Calibri"/>
                <w:sz w:val="22"/>
                <w:lang w:val="uz-Cyrl-UZ"/>
              </w:rPr>
            </w:pPr>
          </w:p>
        </w:tc>
        <w:tc>
          <w:tcPr>
            <w:tcW w:w="4820" w:type="dxa"/>
          </w:tcPr>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CA618A" w:rsidRDefault="002971A5" w:rsidP="00D751B0">
            <w:pPr>
              <w:spacing w:line="288" w:lineRule="auto"/>
              <w:rPr>
                <w:sz w:val="18"/>
                <w:szCs w:val="18"/>
                <w:u w:val="single"/>
                <w:lang w:val="uz-Cyrl-UZ"/>
              </w:rPr>
            </w:pPr>
          </w:p>
          <w:p w:rsidR="002971A5" w:rsidRPr="00F41955" w:rsidRDefault="002971A5" w:rsidP="00D751B0">
            <w:pPr>
              <w:spacing w:line="288" w:lineRule="auto"/>
              <w:rPr>
                <w:rFonts w:eastAsia="Calibri"/>
                <w:sz w:val="22"/>
                <w:lang w:val="uz-Cyrl-UZ"/>
              </w:rPr>
            </w:pPr>
          </w:p>
        </w:tc>
      </w:tr>
      <w:tr w:rsidR="002971A5" w:rsidRPr="007C17BD" w:rsidTr="00D751B0">
        <w:tc>
          <w:tcPr>
            <w:tcW w:w="4678" w:type="dxa"/>
          </w:tcPr>
          <w:p w:rsidR="002971A5" w:rsidRPr="00F41955" w:rsidRDefault="002971A5" w:rsidP="00D751B0">
            <w:pPr>
              <w:jc w:val="both"/>
              <w:rPr>
                <w:rFonts w:eastAsia="Calibri"/>
                <w:sz w:val="22"/>
                <w:lang w:val="uz-Cyrl-UZ"/>
              </w:rPr>
            </w:pPr>
          </w:p>
        </w:tc>
        <w:tc>
          <w:tcPr>
            <w:tcW w:w="4820" w:type="dxa"/>
          </w:tcPr>
          <w:p w:rsidR="002971A5" w:rsidRPr="00F41955" w:rsidRDefault="002971A5" w:rsidP="00D751B0">
            <w:pPr>
              <w:ind w:left="178"/>
              <w:jc w:val="both"/>
              <w:rPr>
                <w:rFonts w:eastAsia="Calibri"/>
                <w:sz w:val="22"/>
                <w:lang w:val="uz-Cyrl-UZ"/>
              </w:rPr>
            </w:pPr>
          </w:p>
        </w:tc>
      </w:tr>
    </w:tbl>
    <w:p w:rsidR="002971A5" w:rsidRDefault="002971A5" w:rsidP="002971A5">
      <w:pPr>
        <w:ind w:left="3261"/>
        <w:jc w:val="right"/>
        <w:rPr>
          <w:szCs w:val="28"/>
          <w:lang w:val="uz-Cyrl-UZ"/>
        </w:rPr>
      </w:pPr>
    </w:p>
    <w:p w:rsidR="002971A5" w:rsidRDefault="002971A5" w:rsidP="002971A5">
      <w:pPr>
        <w:ind w:left="3261"/>
        <w:jc w:val="right"/>
        <w:rPr>
          <w:szCs w:val="28"/>
          <w:lang w:val="uz-Cyrl-UZ"/>
        </w:rPr>
      </w:pPr>
      <w:r w:rsidRPr="00872831">
        <w:rPr>
          <w:szCs w:val="28"/>
          <w:lang w:val="uz-Cyrl-UZ"/>
        </w:rPr>
        <w:t xml:space="preserve">      </w:t>
      </w:r>
    </w:p>
    <w:p w:rsidR="002971A5" w:rsidRPr="00872831" w:rsidRDefault="002971A5" w:rsidP="002971A5">
      <w:pPr>
        <w:ind w:left="3261"/>
        <w:jc w:val="right"/>
        <w:rPr>
          <w:sz w:val="24"/>
          <w:szCs w:val="24"/>
          <w:lang w:val="uz-Cyrl-UZ"/>
        </w:rPr>
      </w:pPr>
      <w:r>
        <w:rPr>
          <w:szCs w:val="28"/>
          <w:lang w:val="uz-Cyrl-UZ"/>
        </w:rPr>
        <w:br w:type="page"/>
      </w: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0" w:type="auto"/>
        <w:tblLook w:val="04A0" w:firstRow="1" w:lastRow="0" w:firstColumn="1" w:lastColumn="0" w:noHBand="0" w:noVBand="1"/>
      </w:tblPr>
      <w:tblGrid>
        <w:gridCol w:w="4855"/>
        <w:gridCol w:w="4716"/>
      </w:tblGrid>
      <w:tr w:rsidR="002971A5" w:rsidRPr="000F06FD" w:rsidTr="00D751B0">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0F06FD" w:rsidRDefault="002971A5" w:rsidP="00D751B0">
            <w:pPr>
              <w:tabs>
                <w:tab w:val="left" w:pos="994"/>
              </w:tabs>
              <w:spacing w:line="288" w:lineRule="auto"/>
              <w:jc w:val="center"/>
              <w:rPr>
                <w:sz w:val="26"/>
                <w:szCs w:val="26"/>
              </w:rPr>
            </w:pPr>
            <w:r>
              <w:rPr>
                <w:sz w:val="26"/>
                <w:szCs w:val="26"/>
              </w:rPr>
              <w:t>_____________</w:t>
            </w:r>
            <w:r w:rsidRPr="00872831">
              <w:rPr>
                <w:sz w:val="26"/>
                <w:szCs w:val="26"/>
              </w:rPr>
              <w:t>/______________/</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83DE6"/>
    <w:rsid w:val="00196E23"/>
    <w:rsid w:val="001D3931"/>
    <w:rsid w:val="002971A5"/>
    <w:rsid w:val="00432E7E"/>
    <w:rsid w:val="004B65BA"/>
    <w:rsid w:val="005D739A"/>
    <w:rsid w:val="006A30A9"/>
    <w:rsid w:val="00773CF3"/>
    <w:rsid w:val="008A5F65"/>
    <w:rsid w:val="008B5204"/>
    <w:rsid w:val="009751C2"/>
    <w:rsid w:val="00AA0700"/>
    <w:rsid w:val="00B6670F"/>
    <w:rsid w:val="00BE11D5"/>
    <w:rsid w:val="00D106F9"/>
    <w:rsid w:val="00E31669"/>
    <w:rsid w:val="00E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1886</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2022-02-28T11:48:00Z</dcterms:created>
  <dcterms:modified xsi:type="dcterms:W3CDTF">2022-04-04T08:47:00Z</dcterms:modified>
</cp:coreProperties>
</file>