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1160"/>
        <w:gridCol w:w="1071"/>
        <w:gridCol w:w="1005"/>
        <w:gridCol w:w="755"/>
        <w:gridCol w:w="893"/>
        <w:gridCol w:w="815"/>
        <w:gridCol w:w="826"/>
        <w:gridCol w:w="1057"/>
        <w:gridCol w:w="906"/>
        <w:gridCol w:w="867"/>
      </w:tblGrid>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bookmarkStart w:id="0" w:name="_GoBack"/>
            <w:bookmarkEnd w:id="0"/>
            <w:r>
              <w:rPr>
                <w:rStyle w:val="a3"/>
                <w:color w:val="000000"/>
                <w:sz w:val="20"/>
                <w:szCs w:val="20"/>
              </w:rPr>
              <w:t>Аутсорсинг шартлари асосида хизматларни кўрсатиш бўйича</w:t>
            </w:r>
            <w:r>
              <w:rPr>
                <w:b/>
                <w:bCs/>
                <w:color w:val="000000"/>
                <w:sz w:val="20"/>
                <w:szCs w:val="20"/>
              </w:rPr>
              <w:br/>
            </w:r>
            <w:r>
              <w:rPr>
                <w:rStyle w:val="a3"/>
                <w:color w:val="000000"/>
                <w:sz w:val="20"/>
                <w:szCs w:val="20"/>
              </w:rPr>
              <w:t>НАМУНАВИЙ ШАРТНОМА</w:t>
            </w:r>
          </w:p>
        </w:tc>
      </w:tr>
      <w:tr w:rsidR="00364E65" w:rsidTr="00B71CE6">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 xml:space="preserve">_______ шаҳри (тумани) </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20___ йил «___» _______</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both"/>
              <w:rPr>
                <w:color w:val="000000"/>
              </w:rPr>
            </w:pPr>
            <w:r>
              <w:rPr>
                <w:color w:val="000000"/>
                <w:sz w:val="20"/>
                <w:szCs w:val="20"/>
                <w:lang w:val="uz-Cyrl-UZ"/>
              </w:rPr>
              <w:t xml:space="preserve">_____________________________________ номидан Низом асосида фаолият юритувчи </w:t>
            </w:r>
          </w:p>
        </w:tc>
      </w:tr>
      <w:tr w:rsidR="00364E65" w:rsidTr="00B71CE6">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both"/>
              <w:rPr>
                <w:color w:val="000000"/>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color w:val="000000"/>
                <w:sz w:val="20"/>
                <w:szCs w:val="20"/>
              </w:rPr>
              <w:t>(муассаса номи)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__________________________________ (кейинги ўринларда Буюртмачи деб аталади)</w:t>
            </w:r>
          </w:p>
        </w:tc>
      </w:tr>
      <w:tr w:rsidR="00364E65" w:rsidTr="00B71CE6">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color w:val="000000"/>
                <w:sz w:val="20"/>
                <w:szCs w:val="20"/>
              </w:rPr>
              <w:t>(Ф.И.Ш.)</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бир томондан ва ____________________________ номидан Устав (ишончнома) асосида</w:t>
            </w:r>
          </w:p>
        </w:tc>
      </w:tr>
      <w:tr w:rsidR="00364E65" w:rsidTr="00B71CE6">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color w:val="000000"/>
                <w:sz w:val="20"/>
                <w:szCs w:val="20"/>
              </w:rPr>
              <w:t>(ташкилот номи)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фаолият юритувчи директор ________________________________ (кейинги ўринларда</w:t>
            </w:r>
          </w:p>
        </w:tc>
      </w:tr>
      <w:tr w:rsidR="00364E65" w:rsidTr="00B71CE6">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color w:val="000000"/>
                <w:sz w:val="20"/>
                <w:szCs w:val="20"/>
              </w:rPr>
              <w:t>(Ф.И.Ш.)</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Аутсорсер деб аталади), иккинчи томондан кейинчалик Томонлар деб аталади, ушбу Шартномани қуйидагилар тўғрисида туздилар.</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rStyle w:val="a3"/>
                <w:color w:val="000000"/>
                <w:sz w:val="20"/>
                <w:szCs w:val="20"/>
              </w:rPr>
              <w:t>I. Шартнома предмети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1.1. Аутсорсер Буюртмачининг буюртмаси бўйича мазкур Шартноманинг 1.2-бандида кўрсатиб ўтилган хизматларни кўрсатиш, Буюртмачи эса ушбу хизматлар учун пул тўлаш мажбуриятини олади.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1.2. Аутсорсер мазкур шартноманинг 1.3-бандида кўрсатилган муддатдан бошлаб, у тугагунига қадар ҳар куни Буюртмачини ________________________________________</w:t>
            </w:r>
          </w:p>
        </w:tc>
      </w:tr>
      <w:tr w:rsidR="00364E65" w:rsidTr="00B71CE6">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color w:val="000000"/>
                <w:sz w:val="20"/>
                <w:szCs w:val="20"/>
              </w:rPr>
              <w:t>(аутсорсерга ўтказилган хизмат номи)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 xml:space="preserve">ҳамда Ўзбекистон Республикасининг 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мувофиқ таъминлаш мажбуриятини, кейинги ўринларда Хизматлар деб аталади, ўз зиммасига олади. </w:t>
            </w:r>
          </w:p>
        </w:tc>
      </w:tr>
      <w:tr w:rsidR="00364E65" w:rsidTr="00B71CE6">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 xml:space="preserve">1.3. Хизмат кўрсатиш муддати: </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r>
      <w:tr w:rsidR="00364E65" w:rsidTr="00B71CE6">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 xml:space="preserve">20 ___ йил «____» _____________дан. </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r>
      <w:tr w:rsidR="00364E65" w:rsidTr="00B71CE6">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20 ___ йил «____» _____________гача.</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 мазкур Шартномада кўрсатилган банк ҳисоб-рақамига пул маблағлари ўтказгандан сўнг Хизматлар кўрсатилган деб ҳисобланади.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rStyle w:val="a3"/>
                <w:color w:val="000000"/>
                <w:sz w:val="20"/>
                <w:szCs w:val="20"/>
              </w:rPr>
              <w:t>II. Томонларнинг ҳуқуқ ва мажбуриятлари</w:t>
            </w:r>
          </w:p>
        </w:tc>
      </w:tr>
      <w:tr w:rsidR="00364E65" w:rsidTr="00B71CE6">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2.1. Аутсорсер қуйидаги ҳуқуқларга эга:</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2.1.1. Ижарага олинган мол-мулкдан фойдаланиш;</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2.1.2. Ижарага олинган бино ва иншоотларнинг ички ва ташқи қисмида техник жиҳатдан жиҳозлаш ва таъмирлаш ишларини амалга ошириш;</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2.1.3. Хизматлар таннархининг ўзгариши муносабати билан шартномага ўзгартириш киритиш таклифи билан чиқиш;</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 xml:space="preserve">2.1.4. Кўрсатилган хизматлар учун ўз вақтида тўловлар амалга оширилишини талаб қилиш;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2.1.5. Кўрсатилган хизматлар натижасида фойда олиш;</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2.1.6. Буюртмачидан шартнома шартларининг бажарилишини талаб қилиш;</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 xml:space="preserve">2.1.7. Қонун ҳужжатларига мувофиқ бошқа ҳуқуқлар.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2.2. Аутсорсер қуйидагиларга мажбур:</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2.2.1. Ижарага олинган бино ва иншоотлар, жиҳозлардан мақсадли ҳамда оқилона фойдаланиши, сақлаши, носоз ҳолга келганда уларни ўз ҳисобидан таъмирлаши, шунингдек, коммунал харажатларини қоплаши;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 xml:space="preserve">2.2.2. Аутсорсинг хизматини кўрсатишда техника, ёнғин, меҳнат муҳофазаси ҳамда санитария қоидалари, нормалари ва гигиена нормативларига қатъий риоя этиши;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2.2.3. Товар (ишлар, хизматлар)нинг сифатли ишлаб чиқарилишини ва буюртмачига етказилишини таъминлаши;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2.2.4. Махфийлик тартибига қатъий риоя қилиши;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 xml:space="preserve">2.2.6. Хизматларни сифатли, мазкур Шартноманинг 1.3-бандида кўрсатилган муддатда ва тўлиқ ҳажмда кўрсатиши;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lastRenderedPageBreak/>
              <w:t>2.2.8. Хизматларнинг сифатсизлиги, хизматларни бажариш учун вақтинча фойдаланишга бериладиган ишлаб чиқариш (хизмат кўрсатиш) хоналари ҳолати, шунингдек, тегишли инвентарларнинг санитария қоидаларига жавоб бермаслиги аниқланганда, Аутсорсер зудлик билан Буюртмачининг аниқланган камчиликларни бартараф этиш бўйича қонуний талабини бажариши;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 xml:space="preserve">2.2.9. Малакали, тажрибали, қўйилган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рухсат этиши;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 xml:space="preserve">2.2.10. Ходимлар зиммасига Буюртмачининг ҳудудида одоб-ахлоқ қоидаларига, шунингдек, ички тартибга риоя қилиш мажбуриятини юклаши;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 xml:space="preserve">2.2.11. Хизмат кўрсатиш бўйича ишларни шахсан бажариши, мазкур Шартнома шартларини бажаришни учинчи шахсга топширмаслиги;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2.2.12. Мазкур шартнома шартларини бажариш доирасида Буюртмачи томонидан вақтинча фойдаланишга топширилган ускуналар, жиҳозлар, идишлар, асбоблар, мебеллар, инвентарлар ва бошқалар моддий воситаларни соз ҳолда сақлаши, таъмирлаши, шунингдек, биноларни таъмирлаши;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2.2.13. Томонлар имзолайдиган тегишли қабул қилиш-топшириш далолатномасини расмийлаштирган ҳолда, Буюртмачидан биноларни (хоналарни), ускуналарни, жиҳозларни, асбобларни, мебелларни, инвентарлар ва бошқалар моддий воситаларни қабул қилиб олиши;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2.2.14. Мазкур шартномани бекор қилиш ҳақида Буюртмачини икки ой олдин ёзма равишда огоҳлантириши, ушбу муддат тугагунига қадар эса Буюртмачига хизматларни узлуксиз кўрсатилишини таъминлаши;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2.2.16. Қонун ҳужжатларига мувофиқ бошқа мажбуриятлар.</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2.3. Буюртмачи қуйидаги ҳуқуқларга эга:</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 xml:space="preserve">2.3.1. Товарлар (ишлар, хизматлар) сифатли ишлаб чиқарилиши (бажарилиши, кўрсатилиши)ни талаб қилиш;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2.3.2. Аутсорсернинг фаолиятига аралашмаган ҳолда, шартнома шартларининг бажарилишини назорат қилиш;</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2.3.3. Шартномани бекор қилиш тўғрисида 10 кун олдин Аутсорсерни ёзма равишда огоҳлантириш, бунда кўрсатилган хизматларнинг қийматини белгиланган тартибда тўлаш;</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2.3.4. Қонун ҳужжатларига мувофиқ бошқа ҳуқуқлар.</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2.4. Буюртмачи қуйидагиларга мажбур:</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 xml:space="preserve">2.4.2. Аутсорсерга мазкур Шартнома шартларини бажариш доирасида биноларни (хоналарни), ускуналарни, жиҳозларни, асбобларни, мебелларни, инвентарлар ва бошқа моддий воситаларни вақтинча фойдаланишга бериши;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2.4.3. Қонун ҳужжатларига мувофиқ бошқа мажбуриятлар.</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rStyle w:val="a3"/>
                <w:color w:val="000000"/>
                <w:sz w:val="20"/>
                <w:szCs w:val="20"/>
              </w:rPr>
              <w:t>III. Хизматлар нархи ва ўзаро ҳисоб-китоблар тартиби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 xml:space="preserve">3.1. Мазкур шартноманинг иловасига мувофиқ хизматлар нархи _____________________________________________________________ </w:t>
            </w:r>
          </w:p>
        </w:tc>
      </w:tr>
      <w:tr w:rsidR="00364E65" w:rsidTr="00B71CE6">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color w:val="000000"/>
                <w:sz w:val="20"/>
                <w:szCs w:val="20"/>
              </w:rPr>
              <w:t>(сумма сон ва сўз билан)</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сўмни ташкил этади.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 xml:space="preserve">3.2. Аутсорсер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 xml:space="preserve">3.3. Кўрсатиладиган хизматларнинг амалдаги сони ҳақидаги маълумотлар ва хизматларнинг амалдаги нархи асосида Буюртмачи кундалик буюртмага мувофиқ Аутсорсер билан биргаликда ҳар ўн кунда, тўланиши лозим бўлган суммаси кўрсатилган, Аутсорсер ва Буюртмачи томонидан имзоланадиган бажарилган ишларнинг йиғма далолатномаси тузилади ва ҳисоб-фактура расмийлаштиради.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 xml:space="preserve">3.4.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3.5.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rStyle w:val="a3"/>
                <w:color w:val="000000"/>
                <w:sz w:val="20"/>
                <w:szCs w:val="20"/>
              </w:rPr>
              <w:t>IV. Томонларнинг мажбуриятлари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lastRenderedPageBreak/>
              <w:t>4.1.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қисмининг 0,5 фоиз миқдорида пеня тўлайди, бунда пенянинг умумий суммаси кўрсатилмаган хизматлар ойлик нархининг 50 фоизидан ошмаслиги керак.</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4.2. Пеня (жарима) тўлаш Томонларнинг зиммасидаги мажбуриятларини бажаришдан ёки бузилишларни бартараф қилишдан озод этмайди.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 xml:space="preserve">4.3. Мазкур Шартнома шартларининг бажарилмаслиги ёки тегишли даражада бажарилмаслиги учун Томонлар Ўзбекистон Республикасининг Фуқаролик </w:t>
            </w:r>
            <w:hyperlink r:id="rId4" w:history="1">
              <w:r>
                <w:rPr>
                  <w:color w:val="008080"/>
                  <w:sz w:val="20"/>
                  <w:szCs w:val="20"/>
                </w:rPr>
                <w:t>кодекси</w:t>
              </w:r>
            </w:hyperlink>
            <w:r>
              <w:rPr>
                <w:color w:val="000000"/>
                <w:sz w:val="20"/>
                <w:szCs w:val="20"/>
              </w:rPr>
              <w:t xml:space="preserve"> талабларида, «Хўжалик юритувчи субъектлар фаолиятининг шартномавий-ҳуқуқий базаси тўғрисида»ги Ўзбекистон Республикаси </w:t>
            </w:r>
            <w:hyperlink r:id="rId5" w:history="1">
              <w:r>
                <w:rPr>
                  <w:color w:val="008080"/>
                  <w:sz w:val="20"/>
                  <w:szCs w:val="20"/>
                </w:rPr>
                <w:t xml:space="preserve">Қонуни </w:t>
              </w:r>
            </w:hyperlink>
            <w:r>
              <w:rPr>
                <w:color w:val="000000"/>
                <w:sz w:val="20"/>
                <w:szCs w:val="20"/>
              </w:rPr>
              <w:t>ҳамда Ўзбекистон Республикасининг бошқа норматив-ҳуқуқий ҳужжатларида назарда тутилган жавобгар бўладилар.</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4.4.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4.5.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rStyle w:val="a3"/>
                <w:color w:val="000000"/>
                <w:sz w:val="20"/>
                <w:szCs w:val="20"/>
              </w:rPr>
              <w:t>V. Мунозарали вазиятларни ҳал этиш тартиби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 xml:space="preserve">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rStyle w:val="a3"/>
                <w:color w:val="000000"/>
                <w:sz w:val="20"/>
                <w:szCs w:val="20"/>
              </w:rPr>
              <w:t>VI. Форс-мажор ҳолатлар</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6.1. Томонлар мажбуриятлар қисман ёки тўлиқ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ҳодисалар рўй берган муддатга сурилади.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rStyle w:val="a3"/>
                <w:color w:val="000000"/>
                <w:sz w:val="20"/>
                <w:szCs w:val="20"/>
              </w:rPr>
              <w:t>VII. Якунловчи қоидалар</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 xml:space="preserve">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 xml:space="preserve">7.2. Томонларнинг ҳеч бири мазкур Шартнома бўйича ўз ҳуқуқ ва мажбуриятларини бошқа Томоннинг ёзма шаклдаги розилигисиз бирор бир учинчи томонга бериб юбориши мумкин эмас. </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color w:val="000000"/>
              </w:rPr>
            </w:pPr>
            <w:r>
              <w:rPr>
                <w:color w:val="000000"/>
                <w:sz w:val="20"/>
                <w:szCs w:val="20"/>
              </w:rPr>
              <w:t>7.3. Ушбу шартнома икки нусхада тузилган. Иккала нусха айнан бир хил бўлиб, бир хил юридик кучга эга. Томонларнинг ҳар бирида мазкур Шартноманинг бир нусхаси бўлади.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rStyle w:val="a3"/>
                <w:color w:val="000000"/>
                <w:sz w:val="20"/>
                <w:szCs w:val="20"/>
              </w:rPr>
              <w:t>VIII. Шартноманинг амал қилиш муддати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color w:val="000000"/>
              </w:rPr>
            </w:pPr>
            <w:r>
              <w:rPr>
                <w:rFonts w:eastAsia="Times New Roman"/>
                <w:color w:val="000000"/>
                <w:sz w:val="20"/>
                <w:szCs w:val="20"/>
              </w:rPr>
              <w:t>8.1. Ушбу Шартнома имзоланган пайтдан кучга киради ва бир календарь йили давомида ёки муддатидан олдин бекор қилингунига қадар амал қилади.</w:t>
            </w:r>
          </w:p>
        </w:tc>
      </w:tr>
      <w:tr w:rsidR="00364E65" w:rsidTr="00B71CE6">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rStyle w:val="a3"/>
                <w:color w:val="000000"/>
                <w:sz w:val="20"/>
                <w:szCs w:val="20"/>
              </w:rPr>
              <w:t>IX. Томонларнинг манзили ва банк реквизитлари</w:t>
            </w:r>
          </w:p>
        </w:tc>
      </w:tr>
      <w:tr w:rsidR="00364E65" w:rsidTr="00B71CE6">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rStyle w:val="a3"/>
                <w:color w:val="000000"/>
                <w:sz w:val="20"/>
                <w:szCs w:val="20"/>
              </w:rPr>
              <w:t>«Аутсорсер»</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rStyle w:val="a3"/>
                <w:color w:val="000000"/>
                <w:sz w:val="20"/>
                <w:szCs w:val="20"/>
              </w:rPr>
              <w:t xml:space="preserve">«Буюртмачи» </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rPr>
                <w:rFonts w:eastAsia="Times New Roman"/>
                <w:sz w:val="20"/>
                <w:szCs w:val="20"/>
              </w:rPr>
            </w:pPr>
          </w:p>
        </w:tc>
      </w:tr>
      <w:tr w:rsidR="00364E65" w:rsidTr="00B71CE6">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color w:val="000000"/>
                <w:sz w:val="20"/>
                <w:szCs w:val="2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color w:val="000000"/>
                <w:sz w:val="20"/>
                <w:szCs w:val="2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p>
        </w:tc>
      </w:tr>
      <w:tr w:rsidR="00364E65" w:rsidTr="00B71CE6">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color w:val="000000"/>
                <w:sz w:val="20"/>
                <w:szCs w:val="2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r>
              <w:rPr>
                <w:color w:val="000000"/>
                <w:sz w:val="20"/>
                <w:szCs w:val="2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364E65" w:rsidRDefault="00364E65" w:rsidP="00B71CE6">
            <w:pPr>
              <w:jc w:val="center"/>
              <w:rPr>
                <w:color w:val="000000"/>
              </w:rPr>
            </w:pPr>
          </w:p>
        </w:tc>
      </w:tr>
    </w:tbl>
    <w:p w:rsidR="00364E65" w:rsidRDefault="00364E65" w:rsidP="00364E65">
      <w:pPr>
        <w:shd w:val="clear" w:color="auto" w:fill="FFFFFF"/>
        <w:jc w:val="center"/>
        <w:rPr>
          <w:rFonts w:eastAsia="Times New Roman"/>
          <w:color w:val="000080"/>
          <w:sz w:val="22"/>
          <w:szCs w:val="22"/>
        </w:rPr>
      </w:pPr>
      <w:r>
        <w:rPr>
          <w:rFonts w:eastAsia="Times New Roman"/>
          <w:color w:val="000080"/>
          <w:sz w:val="22"/>
          <w:szCs w:val="22"/>
        </w:rPr>
        <w:t xml:space="preserve">Аутсорсинг шартлари асосида хизматларни кўрсатиш бўйича намунавий </w:t>
      </w:r>
      <w:hyperlink r:id="rId6" w:history="1">
        <w:r>
          <w:rPr>
            <w:rFonts w:eastAsia="Times New Roman"/>
            <w:color w:val="008080"/>
            <w:sz w:val="22"/>
            <w:szCs w:val="22"/>
          </w:rPr>
          <w:t xml:space="preserve">шартномага </w:t>
        </w:r>
        <w:r>
          <w:rPr>
            <w:rFonts w:eastAsia="Times New Roman"/>
            <w:color w:val="008080"/>
            <w:sz w:val="22"/>
            <w:szCs w:val="22"/>
          </w:rPr>
          <w:br/>
        </w:r>
      </w:hyperlink>
      <w:r>
        <w:rPr>
          <w:rFonts w:eastAsia="Times New Roman"/>
          <w:color w:val="000080"/>
          <w:sz w:val="22"/>
          <w:szCs w:val="22"/>
        </w:rPr>
        <w:t>ИЛОВА</w:t>
      </w:r>
    </w:p>
    <w:tbl>
      <w:tblPr>
        <w:tblW w:w="5000" w:type="pct"/>
        <w:tblCellMar>
          <w:left w:w="0" w:type="dxa"/>
          <w:right w:w="0" w:type="dxa"/>
        </w:tblCellMar>
        <w:tblLook w:val="04A0" w:firstRow="1" w:lastRow="0" w:firstColumn="1" w:lastColumn="0" w:noHBand="0" w:noVBand="1"/>
      </w:tblPr>
      <w:tblGrid>
        <w:gridCol w:w="453"/>
        <w:gridCol w:w="1763"/>
        <w:gridCol w:w="943"/>
        <w:gridCol w:w="1088"/>
        <w:gridCol w:w="1088"/>
        <w:gridCol w:w="1488"/>
        <w:gridCol w:w="861"/>
        <w:gridCol w:w="790"/>
        <w:gridCol w:w="861"/>
      </w:tblGrid>
      <w:tr w:rsidR="00364E65" w:rsidTr="00B71CE6">
        <w:trPr>
          <w:cantSplit/>
        </w:trPr>
        <w:tc>
          <w:tcPr>
            <w:tcW w:w="0" w:type="auto"/>
            <w:gridSpan w:val="9"/>
            <w:tcBorders>
              <w:top w:val="nil"/>
              <w:left w:val="nil"/>
              <w:bottom w:val="single" w:sz="8" w:space="0" w:color="auto"/>
              <w:right w:val="nil"/>
            </w:tcBorders>
            <w:tcMar>
              <w:top w:w="0" w:type="dxa"/>
              <w:left w:w="108" w:type="dxa"/>
              <w:bottom w:w="0" w:type="dxa"/>
              <w:right w:w="108" w:type="dxa"/>
            </w:tcMar>
            <w:vAlign w:val="center"/>
            <w:hideMark/>
          </w:tcPr>
          <w:p w:rsidR="00364E65" w:rsidRDefault="00364E65" w:rsidP="00B71CE6">
            <w:pPr>
              <w:spacing w:after="160"/>
              <w:jc w:val="center"/>
            </w:pPr>
            <w:r>
              <w:rPr>
                <w:b/>
                <w:bCs/>
              </w:rPr>
              <w:t>ШАРТНОМАНИНГ ПРОГНОЗ СУММАСИ</w:t>
            </w: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rPr>
            </w:pPr>
            <w:r>
              <w:rPr>
                <w:rFonts w:eastAsia="Times New Roman"/>
              </w:rPr>
              <w:br w:type="textWrapping" w:clear="all"/>
            </w:r>
          </w:p>
          <w:p w:rsidR="00364E65" w:rsidRDefault="00364E65" w:rsidP="00B71CE6">
            <w:pPr>
              <w:spacing w:after="160"/>
              <w:ind w:left="-113" w:right="-113"/>
              <w:jc w:val="center"/>
            </w:pPr>
            <w:r>
              <w:rPr>
                <w:b/>
                <w:bCs/>
              </w:rPr>
              <w:t>Т/р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r>
              <w:rPr>
                <w:b/>
                <w:bCs/>
              </w:rPr>
              <w:t>Ойлар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54" w:right="-39"/>
              <w:jc w:val="center"/>
            </w:pPr>
            <w:r>
              <w:rPr>
                <w:b/>
                <w:bCs/>
              </w:rPr>
              <w:t>Ойдаги кунлар сони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jc w:val="center"/>
            </w:pPr>
            <w:r>
              <w:rPr>
                <w:b/>
                <w:bCs/>
              </w:rPr>
              <w:t>Ўлчов бирлиги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jc w:val="center"/>
            </w:pPr>
            <w:r>
              <w:rPr>
                <w:b/>
                <w:bCs/>
              </w:rPr>
              <w:t>Хизмат бирлиги учун нарх (сўм)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jc w:val="center"/>
            </w:pPr>
            <w:r>
              <w:rPr>
                <w:b/>
                <w:bCs/>
              </w:rPr>
              <w:t>Хизмат бирликлари сони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jc w:val="center"/>
            </w:pPr>
            <w:r>
              <w:rPr>
                <w:b/>
                <w:bCs/>
              </w:rPr>
              <w:t>Жами сумма ҚҚС сиз (сўм)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jc w:val="center"/>
            </w:pPr>
            <w:r>
              <w:rPr>
                <w:b/>
                <w:bCs/>
              </w:rPr>
              <w:t>ҚҚС ___%</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jc w:val="center"/>
            </w:pPr>
            <w:r>
              <w:rPr>
                <w:b/>
                <w:bCs/>
              </w:rPr>
              <w:t>Жами сумма ҚҚС билан</w:t>
            </w: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113" w:right="-113"/>
              <w:jc w:val="center"/>
            </w:pPr>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pPr>
            <w:r>
              <w:t>Январь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113" w:right="-113"/>
              <w:jc w:val="center"/>
            </w:pPr>
            <w:r>
              <w:lastRenderedPageBreak/>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pPr>
            <w:r>
              <w:t>Февраль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84" w:right="-73"/>
              <w:jc w:val="center"/>
            </w:pPr>
            <w:r>
              <w:t>28/29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113" w:right="-113"/>
              <w:jc w:val="center"/>
            </w:pPr>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pPr>
            <w:r>
              <w:t>Март</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113" w:right="-113"/>
              <w:jc w:val="center"/>
            </w:pPr>
            <w: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pPr>
            <w:r>
              <w:t>Апрель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84" w:right="-73"/>
              <w:jc w:val="center"/>
            </w:pPr>
            <w:r>
              <w:t>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113" w:right="-113"/>
              <w:jc w:val="center"/>
            </w:pPr>
            <w: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pPr>
            <w:r>
              <w:t>Май</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113" w:right="-113"/>
              <w:jc w:val="center"/>
            </w:pPr>
            <w: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pPr>
            <w:r>
              <w:t>Июнь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84" w:right="-73"/>
              <w:jc w:val="center"/>
            </w:pPr>
            <w:r>
              <w:t>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113" w:right="-113"/>
              <w:jc w:val="center"/>
            </w:pPr>
            <w: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pPr>
            <w:r>
              <w:t>Июль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113" w:right="-113"/>
              <w:jc w:val="center"/>
            </w:pPr>
            <w: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pPr>
            <w:r>
              <w:t>Август</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113" w:right="-113"/>
              <w:jc w:val="center"/>
            </w:pPr>
            <w: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pPr>
            <w:r>
              <w:t>Сентябрь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84" w:right="-73"/>
              <w:jc w:val="center"/>
            </w:pPr>
            <w:r>
              <w:t>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113" w:right="-113"/>
              <w:jc w:val="center"/>
            </w:pPr>
            <w: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pPr>
            <w:r>
              <w:t>Октябрь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113" w:right="-113"/>
              <w:jc w:val="center"/>
            </w:pPr>
            <w: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pPr>
            <w:r>
              <w:t>Ноябрь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84" w:right="-73"/>
              <w:jc w:val="center"/>
            </w:pPr>
            <w:r>
              <w:t>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113" w:right="-113"/>
              <w:jc w:val="center"/>
            </w:pPr>
            <w: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pPr>
            <w:r>
              <w:t>Декабрь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r>
      <w:tr w:rsidR="00364E65" w:rsidTr="00B71CE6">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64E65" w:rsidRDefault="00364E65" w:rsidP="00B71CE6">
            <w:pPr>
              <w:spacing w:after="160"/>
              <w:ind w:left="-84" w:right="-73"/>
              <w:jc w:val="center"/>
            </w:pPr>
            <w:r>
              <w:rPr>
                <w:b/>
                <w:bCs/>
              </w:rPr>
              <w:t>Шартноманинг жами суммаси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r>
              <w:rPr>
                <w:b/>
                <w:bCs/>
              </w:rPr>
              <w:t>365/366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spacing w:after="160"/>
              <w:ind w:left="-84" w:right="-73"/>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E65" w:rsidRDefault="00364E65" w:rsidP="00B71CE6">
            <w:pPr>
              <w:rPr>
                <w:rFonts w:eastAsia="Times New Roman"/>
                <w:sz w:val="20"/>
                <w:szCs w:val="20"/>
              </w:rPr>
            </w:pPr>
          </w:p>
        </w:tc>
      </w:tr>
    </w:tbl>
    <w:p w:rsidR="00364E65" w:rsidRDefault="00364E65" w:rsidP="00364E65">
      <w:pPr>
        <w:shd w:val="clear" w:color="auto" w:fill="FFFFFF"/>
        <w:rPr>
          <w:rFonts w:eastAsia="Times New Roman"/>
        </w:rPr>
      </w:pPr>
    </w:p>
    <w:p w:rsidR="000B7DCB" w:rsidRDefault="000B7DCB"/>
    <w:sectPr w:rsidR="000B7D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65"/>
    <w:rsid w:val="000B7DCB"/>
    <w:rsid w:val="00161E84"/>
    <w:rsid w:val="00364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793F7-9665-4D17-91EB-4369B6DE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E65"/>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4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crollText(4701249)" TargetMode="External"/><Relationship Id="rId5" Type="http://schemas.openxmlformats.org/officeDocument/2006/relationships/hyperlink" Target="http://lex.uz/docs/18942" TargetMode="External"/><Relationship Id="rId4" Type="http://schemas.openxmlformats.org/officeDocument/2006/relationships/hyperlink" Target="http://lex.uz/docs/111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1718</Words>
  <Characters>9796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nilniztur@gmail.com</dc:creator>
  <cp:keywords/>
  <dc:description/>
  <cp:lastModifiedBy>Пользователь Windows</cp:lastModifiedBy>
  <cp:revision>2</cp:revision>
  <dcterms:created xsi:type="dcterms:W3CDTF">2022-04-12T13:00:00Z</dcterms:created>
  <dcterms:modified xsi:type="dcterms:W3CDTF">2022-04-12T13:00:00Z</dcterms:modified>
</cp:coreProperties>
</file>