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70EF4800" w:rsidR="00FF6586" w:rsidRDefault="00F74433" w:rsidP="0092504D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 w:rsidRPr="00F74433">
        <w:rPr>
          <w:rFonts w:ascii="Times New Roman" w:hAnsi="Times New Roman"/>
          <w:sz w:val="28"/>
          <w:szCs w:val="28"/>
          <w:lang w:val="ru-RU"/>
        </w:rPr>
        <w:t xml:space="preserve">Благоустройство и озеленения на две стороны подъездной автодороги Карши-Бухара подъездная дорога КПП №1, КПП №2 и сад </w:t>
      </w:r>
      <w:proofErr w:type="spellStart"/>
      <w:r w:rsidRPr="00F74433">
        <w:rPr>
          <w:rFonts w:ascii="Times New Roman" w:hAnsi="Times New Roman"/>
          <w:sz w:val="28"/>
          <w:szCs w:val="28"/>
          <w:lang w:val="ru-RU"/>
        </w:rPr>
        <w:t>Истиклол</w:t>
      </w:r>
      <w:proofErr w:type="spellEnd"/>
      <w:r w:rsidRPr="00F74433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7443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Pr="00F74433">
        <w:rPr>
          <w:rFonts w:ascii="Times New Roman" w:hAnsi="Times New Roman"/>
          <w:sz w:val="28"/>
          <w:szCs w:val="28"/>
          <w:lang w:val="ru-RU"/>
        </w:rPr>
        <w:t xml:space="preserve"> ГПЗ"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sz w:val="28"/>
          <w:lang w:val="ru-RU"/>
        </w:rPr>
        <w:t>»</w:t>
      </w:r>
    </w:p>
    <w:p w14:paraId="26AA1D90" w14:textId="77777777" w:rsidR="00F74433" w:rsidRPr="00D51927" w:rsidRDefault="00F74433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168B593E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E02D53">
        <w:rPr>
          <w:rFonts w:ascii="Times New Roman" w:eastAsia="MS Mincho" w:hAnsi="Times New Roman"/>
          <w:sz w:val="28"/>
          <w:szCs w:val="28"/>
          <w:lang w:val="ru-RU" w:eastAsia="ja-JP"/>
        </w:rPr>
        <w:t>М-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ОT/</w:t>
      </w:r>
      <w:r w:rsidR="004A5333" w:rsidRPr="00827B0E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F74433">
        <w:rPr>
          <w:rFonts w:ascii="Times New Roman" w:eastAsia="MS Mincho" w:hAnsi="Times New Roman"/>
          <w:sz w:val="28"/>
          <w:szCs w:val="28"/>
          <w:lang w:val="ru-RU" w:eastAsia="ja-JP"/>
        </w:rPr>
        <w:t>2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3A676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3A676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3A676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F74433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61AF2A2F" w:rsidR="00A9556E" w:rsidRPr="00F5721F" w:rsidRDefault="00F74433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Благоустройство и озеленения на две стороны подъездной автодороги Карши-Бухара подъездная дорога КПП №1, КПП №2 и сад </w:t>
            </w:r>
            <w:proofErr w:type="spellStart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>Истиклол</w:t>
            </w:r>
            <w:proofErr w:type="spellEnd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ГПЗ" АО «</w:t>
            </w:r>
            <w:proofErr w:type="spellStart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F74433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4244143A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6C6B03BF" w:rsidR="00E509D4" w:rsidRPr="00F5721F" w:rsidRDefault="00F74433" w:rsidP="00717012">
            <w:pPr>
              <w:rPr>
                <w:b/>
                <w:bCs/>
                <w:highlight w:val="yellow"/>
                <w:lang w:val="uz-Cyrl-UZ"/>
              </w:rPr>
            </w:pPr>
            <w:r w:rsidRPr="00F744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 w:rsidRPr="00F744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 w:rsidRPr="00F744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744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F74433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F74433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F74433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58F8C36B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2764D4">
              <w:rPr>
                <w:rFonts w:ascii="Times New Roman" w:hAnsi="Times New Roman"/>
                <w:sz w:val="20"/>
                <w:szCs w:val="20"/>
                <w:lang w:val="ru-RU"/>
              </w:rPr>
              <w:t>240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F74433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F74433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F74433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F74433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3ABCF2ED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426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99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F74433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proofErr w:type="gram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отбору  разработана</w:t>
            </w:r>
            <w:proofErr w:type="gram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F74433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1B34C2B6" w:rsidR="0091079A" w:rsidRPr="00F5721F" w:rsidRDefault="00F74433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и озеленения на две стороны подъездной автодороги Карши-Бухара подъездная дорога КПП №1, КПП №2 и сад </w:t>
            </w:r>
            <w:proofErr w:type="spellStart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>Истиклол</w:t>
            </w:r>
            <w:proofErr w:type="spellEnd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ГПЗ" АО «</w:t>
            </w:r>
            <w:proofErr w:type="spellStart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Pr="00F7443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75B4B" w:rsidRPr="00F74433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3F4EA329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отбора: </w:t>
            </w:r>
            <w:r w:rsidR="00F74433">
              <w:rPr>
                <w:rFonts w:ascii="Times New Roman" w:hAnsi="Times New Roman"/>
                <w:sz w:val="28"/>
                <w:szCs w:val="28"/>
                <w:lang w:val="ru-RU"/>
              </w:rPr>
              <w:t>Годовой потребность 2022 года</w:t>
            </w:r>
          </w:p>
        </w:tc>
      </w:tr>
      <w:tr w:rsidR="0091079A" w:rsidRPr="00F74433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5D81FDD7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F74433" w:rsidRPr="00F744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2 899 109 000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F74433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F74433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F74433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либо другого способа, предусмотренного законодательством;</w:t>
            </w:r>
          </w:p>
        </w:tc>
      </w:tr>
      <w:tr w:rsidR="0091079A" w:rsidRPr="00F74433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F74433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F74433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F74433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F74433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F74433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lastRenderedPageBreak/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F5721F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7F97892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  <w:p w14:paraId="59EDA7CF" w14:textId="4DBB8C5D" w:rsidR="0091079A" w:rsidRPr="00805C05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C05">
              <w:rPr>
                <w:rFonts w:ascii="Times New Roman" w:hAnsi="Times New Roman"/>
                <w:sz w:val="28"/>
                <w:szCs w:val="28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426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99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B8B17" w14:textId="2D227873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r w:rsidR="00ED3BAF" w:rsidRPr="00805C05">
              <w:rPr>
                <w:rFonts w:ascii="Times New Roman" w:hAnsi="Times New Roman"/>
                <w:sz w:val="28"/>
                <w:szCs w:val="28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</w:p>
        </w:tc>
      </w:tr>
      <w:tr w:rsidR="0091079A" w:rsidRPr="00F74433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805C05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F74433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F74433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F74433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</w:t>
            </w:r>
            <w:proofErr w:type="gram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–  участник</w:t>
            </w:r>
            <w:proofErr w:type="gram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F74433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F74433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F74433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F74433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F74433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F74433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F74433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F74433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F74433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F74433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F74433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F74433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F74433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F74433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F74433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F74433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F74433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F74433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F74433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F74433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F74433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F74433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F74433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F74433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F74433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F74433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F74433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F74433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F74433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F74433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F74433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</w:t>
            </w:r>
            <w:proofErr w:type="gram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proofErr w:type="gram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F74433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F74433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F74433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F74433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F74433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F74433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F74433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F74433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F74433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F74433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D51927">
        <w:rPr>
          <w:rFonts w:ascii="Times New Roman" w:hAnsi="Times New Roman"/>
          <w:lang w:val="ru-RU"/>
        </w:rPr>
        <w:t>_ :</w:t>
      </w:r>
      <w:proofErr w:type="gramEnd"/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F74433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F74433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F74433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D51927">
        <w:rPr>
          <w:rFonts w:ascii="Times New Roman" w:hAnsi="Times New Roman"/>
          <w:lang w:val="ru-RU"/>
        </w:rPr>
        <w:t>_ :</w:t>
      </w:r>
      <w:proofErr w:type="gramEnd"/>
      <w:r w:rsidRPr="00D51927">
        <w:rPr>
          <w:rFonts w:ascii="Times New Roman" w:hAnsi="Times New Roman"/>
          <w:lang w:val="ru-RU"/>
        </w:rPr>
        <w:t xml:space="preserve">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F74433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F74433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F74433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F74433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F74433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F74433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F74433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F74433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F74433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F74433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F74433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F74433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F74433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F74433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F74433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F74433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F74433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F74433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F74433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F74433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F74433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F74433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 w:rsidRPr="00D51927">
        <w:rPr>
          <w:rFonts w:ascii="Times New Roman" w:hAnsi="Times New Roman"/>
          <w:lang w:val="ru-RU"/>
        </w:rPr>
        <w:t>_(</w:t>
      </w:r>
      <w:proofErr w:type="gramEnd"/>
      <w:r w:rsidRPr="00D51927"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F74433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F74433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proofErr w:type="gramStart"/>
            <w:r w:rsidRPr="00D51927">
              <w:rPr>
                <w:rFonts w:ascii="Times New Roman" w:hAnsi="Times New Roman"/>
                <w:lang w:val="ru-RU"/>
              </w:rPr>
              <w:t>участник</w:t>
            </w:r>
            <w:proofErr w:type="gramEnd"/>
            <w:r w:rsidRPr="00D51927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56153206" w:rsidR="0091079A" w:rsidRPr="00F5721F" w:rsidRDefault="00F74433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F74433">
              <w:rPr>
                <w:rFonts w:ascii="Times New Roman" w:hAnsi="Times New Roman"/>
                <w:b/>
                <w:bCs/>
                <w:szCs w:val="20"/>
                <w:lang w:val="ru-RU"/>
              </w:rPr>
              <w:t>2 899 109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 w:rsidRPr="00F74433">
              <w:rPr>
                <w:rFonts w:ascii="Times New Roman" w:hAnsi="Times New Roman"/>
                <w:b/>
                <w:bCs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F74433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F74433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F74433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F74433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4624" w14:textId="77777777" w:rsidR="003A6765" w:rsidRDefault="003A6765">
      <w:r>
        <w:separator/>
      </w:r>
    </w:p>
  </w:endnote>
  <w:endnote w:type="continuationSeparator" w:id="0">
    <w:p w14:paraId="5FFF4DFB" w14:textId="77777777" w:rsidR="003A6765" w:rsidRDefault="003A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AB44" w14:textId="77777777" w:rsidR="003A6765" w:rsidRDefault="003A6765">
      <w:r>
        <w:separator/>
      </w:r>
    </w:p>
  </w:footnote>
  <w:footnote w:type="continuationSeparator" w:id="0">
    <w:p w14:paraId="014BB394" w14:textId="77777777" w:rsidR="003A6765" w:rsidRDefault="003A6765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A6765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433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36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51359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12</cp:revision>
  <cp:lastPrinted>2020-04-14T11:39:00Z</cp:lastPrinted>
  <dcterms:created xsi:type="dcterms:W3CDTF">2022-03-17T05:57:00Z</dcterms:created>
  <dcterms:modified xsi:type="dcterms:W3CDTF">2022-04-08T11:06:00Z</dcterms:modified>
</cp:coreProperties>
</file>