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5F4671" w:rsidP="004F4F33">
            <w:pPr>
              <w:spacing w:before="0"/>
              <w:outlineLvl w:val="9"/>
              <w:rPr>
                <w:rFonts w:ascii="Times New Roman" w:eastAsia="MS Mincho" w:hAnsi="Times New Roman"/>
                <w:szCs w:val="20"/>
                <w:lang w:val="ru-RU"/>
              </w:rPr>
            </w:pPr>
            <w:r w:rsidRPr="00587671">
              <w:rPr>
                <w:rFonts w:ascii="Times New Roman" w:eastAsia="MS Mincho" w:hAnsi="Times New Roman"/>
                <w:szCs w:val="20"/>
                <w:lang w:val="ru-RU"/>
              </w:rPr>
              <w:t xml:space="preserve">г. </w:t>
            </w:r>
            <w:r w:rsidR="004F4F33">
              <w:rPr>
                <w:rFonts w:ascii="Times New Roman" w:eastAsia="MS Mincho" w:hAnsi="Times New Roman"/>
                <w:szCs w:val="20"/>
                <w:lang w:val="ru-RU"/>
              </w:rPr>
              <w:t>Бухара</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firstRow="1" w:lastRow="0" w:firstColumn="1" w:lastColumn="0" w:noHBand="0" w:noVBand="1"/>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r w:rsidR="00CF5F91">
        <w:rPr>
          <w:rFonts w:ascii="Times New Roman" w:hAnsi="Times New Roman"/>
          <w:lang w:val="ru-RU"/>
        </w:rPr>
        <w:t xml:space="preserve"> в размере </w:t>
      </w:r>
      <w:r w:rsidR="00CF5F91" w:rsidRPr="00CF5F91">
        <w:rPr>
          <w:rFonts w:ascii="Times New Roman" w:hAnsi="Times New Roman"/>
          <w:lang w:val="ru-RU"/>
        </w:rPr>
        <w:t>30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10 банковских дней с момента подписания договора, остальные </w:t>
      </w:r>
      <w:r w:rsidR="00CF5F91" w:rsidRPr="00CF5F91">
        <w:rPr>
          <w:rFonts w:ascii="Times New Roman" w:hAnsi="Times New Roman"/>
          <w:lang w:val="ru-RU"/>
        </w:rPr>
        <w:t>70</w:t>
      </w:r>
      <w:bookmarkStart w:id="0" w:name="_GoBack"/>
      <w:bookmarkEnd w:id="0"/>
      <w:r w:rsidR="004F35FE" w:rsidRPr="004F35FE">
        <w:rPr>
          <w:rFonts w:ascii="Times New Roman" w:hAnsi="Times New Roman"/>
          <w:lang w:val="ru-RU"/>
        </w:rPr>
        <w:t>% Покупатель оплачивает в течение 10 банковских дней с момента приемки товара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3 (трёх)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10 (десяти)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10 (десяти)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Срок рассмотрения претензии – 15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8"/>
      <w:footerReference w:type="even" r:id="rId9"/>
      <w:footerReference w:type="default" r:id="rId10"/>
      <w:pgSz w:w="11900" w:h="16840" w:code="9"/>
      <w:pgMar w:top="265" w:right="720" w:bottom="720" w:left="720" w:header="11" w:footer="37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4B" w:rsidRDefault="002E064B" w:rsidP="005F4671">
      <w:pPr>
        <w:spacing w:before="0"/>
      </w:pPr>
      <w:r>
        <w:separator/>
      </w:r>
    </w:p>
  </w:endnote>
  <w:endnote w:type="continuationSeparator" w:id="0">
    <w:p w:rsidR="002E064B" w:rsidRDefault="002E064B" w:rsidP="005F467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Pr="00A075F8">
      <w:rPr>
        <w:rFonts w:ascii="Tahoma" w:hAnsi="Tahoma" w:cs="Tahoma"/>
        <w:bCs/>
        <w:sz w:val="10"/>
        <w:szCs w:val="10"/>
      </w:rPr>
      <w:fldChar w:fldCharType="begin"/>
    </w:r>
    <w:r w:rsidRPr="00A075F8">
      <w:rPr>
        <w:rFonts w:ascii="Tahoma" w:hAnsi="Tahoma" w:cs="Tahoma"/>
        <w:bCs/>
        <w:sz w:val="10"/>
        <w:szCs w:val="10"/>
      </w:rPr>
      <w:instrText>PAGE</w:instrText>
    </w:r>
    <w:r w:rsidRPr="00A075F8">
      <w:rPr>
        <w:rFonts w:ascii="Tahoma" w:hAnsi="Tahoma" w:cs="Tahoma"/>
        <w:bCs/>
        <w:sz w:val="10"/>
        <w:szCs w:val="10"/>
      </w:rPr>
      <w:fldChar w:fldCharType="separate"/>
    </w:r>
    <w:r>
      <w:rPr>
        <w:rFonts w:ascii="Tahoma" w:hAnsi="Tahoma" w:cs="Tahoma"/>
        <w:bCs/>
        <w:noProof/>
        <w:sz w:val="10"/>
        <w:szCs w:val="10"/>
      </w:rPr>
      <w:t>2</w:t>
    </w:r>
    <w:r w:rsidRPr="00A075F8">
      <w:rPr>
        <w:rFonts w:ascii="Tahoma" w:hAnsi="Tahoma" w:cs="Tahoma"/>
        <w:bCs/>
        <w:sz w:val="10"/>
        <w:szCs w:val="10"/>
      </w:rPr>
      <w:fldChar w:fldCharType="end"/>
    </w:r>
    <w:r w:rsidRPr="00A075F8">
      <w:rPr>
        <w:rFonts w:ascii="Tahoma" w:hAnsi="Tahoma" w:cs="Tahoma"/>
        <w:sz w:val="10"/>
        <w:szCs w:val="10"/>
      </w:rPr>
      <w:t xml:space="preserve"> из </w:t>
    </w:r>
    <w:r w:rsidRPr="00A075F8">
      <w:rPr>
        <w:rFonts w:ascii="Tahoma" w:hAnsi="Tahoma" w:cs="Tahoma"/>
        <w:bCs/>
        <w:sz w:val="10"/>
        <w:szCs w:val="10"/>
      </w:rPr>
      <w:fldChar w:fldCharType="begin"/>
    </w:r>
    <w:r w:rsidRPr="00A075F8">
      <w:rPr>
        <w:rFonts w:ascii="Tahoma" w:hAnsi="Tahoma" w:cs="Tahoma"/>
        <w:bCs/>
        <w:sz w:val="10"/>
        <w:szCs w:val="10"/>
      </w:rPr>
      <w:instrText>NUMPAGES</w:instrText>
    </w:r>
    <w:r w:rsidRPr="00A075F8">
      <w:rPr>
        <w:rFonts w:ascii="Tahoma" w:hAnsi="Tahoma" w:cs="Tahoma"/>
        <w:bCs/>
        <w:sz w:val="10"/>
        <w:szCs w:val="10"/>
      </w:rPr>
      <w:fldChar w:fldCharType="separate"/>
    </w:r>
    <w:r w:rsidR="00587671">
      <w:rPr>
        <w:rFonts w:ascii="Tahoma" w:hAnsi="Tahoma" w:cs="Tahoma"/>
        <w:bCs/>
        <w:noProof/>
        <w:sz w:val="10"/>
        <w:szCs w:val="10"/>
      </w:rPr>
      <w:t>3</w:t>
    </w:r>
    <w:r w:rsidRPr="00A075F8">
      <w:rPr>
        <w:rFonts w:ascii="Tahoma" w:hAnsi="Tahoma" w:cs="Tahoma"/>
        <w:bCs/>
        <w:sz w:val="10"/>
        <w:szCs w:val="10"/>
      </w:rPr>
      <w:fldChar w:fldCharType="end"/>
    </w:r>
  </w:p>
  <w:p w:rsidR="00DC3EDA" w:rsidRDefault="002E06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EDA" w:rsidRPr="00A32D9A" w:rsidRDefault="002E064B" w:rsidP="00A075F8">
    <w:pPr>
      <w:pStyle w:val="a5"/>
      <w:tabs>
        <w:tab w:val="clear" w:pos="4320"/>
        <w:tab w:val="clear" w:pos="8640"/>
        <w:tab w:val="left" w:pos="40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4B" w:rsidRDefault="002E064B" w:rsidP="005F4671">
      <w:pPr>
        <w:spacing w:before="0"/>
      </w:pPr>
      <w:r>
        <w:separator/>
      </w:r>
    </w:p>
  </w:footnote>
  <w:footnote w:type="continuationSeparator" w:id="0">
    <w:p w:rsidR="002E064B" w:rsidRDefault="002E064B" w:rsidP="005F467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D5" w:rsidRDefault="002E064B" w:rsidP="007D50F5">
    <w:pPr>
      <w:pStyle w:val="a3"/>
      <w:jc w:val="right"/>
    </w:pPr>
  </w:p>
  <w:p w:rsidR="00BE5766" w:rsidRDefault="002E064B" w:rsidP="007D50F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71"/>
    <w:rsid w:val="00063260"/>
    <w:rsid w:val="001A5FDE"/>
    <w:rsid w:val="002E064B"/>
    <w:rsid w:val="004B1BB4"/>
    <w:rsid w:val="004F35FE"/>
    <w:rsid w:val="004F4F33"/>
    <w:rsid w:val="00587671"/>
    <w:rsid w:val="005F4671"/>
    <w:rsid w:val="006B5464"/>
    <w:rsid w:val="006C79F5"/>
    <w:rsid w:val="0072510E"/>
    <w:rsid w:val="00734A64"/>
    <w:rsid w:val="007F128E"/>
    <w:rsid w:val="009339C7"/>
    <w:rsid w:val="0095449C"/>
    <w:rsid w:val="00A01F35"/>
    <w:rsid w:val="00AC7EDB"/>
    <w:rsid w:val="00B5142E"/>
    <w:rsid w:val="00C0278A"/>
    <w:rsid w:val="00C0731C"/>
    <w:rsid w:val="00C41980"/>
    <w:rsid w:val="00CF5F91"/>
    <w:rsid w:val="00D30FEF"/>
    <w:rsid w:val="00DC1648"/>
    <w:rsid w:val="00DC6EE8"/>
    <w:rsid w:val="00F01E40"/>
    <w:rsid w:val="00F6304E"/>
  </w:rsids>
  <m:mathPr>
    <m:mathFont m:val="Cambria Math"/>
    <m:brkBin m:val="before"/>
    <m:brkBinSub m:val="--"/>
    <m:smallFrac m:val="0"/>
    <m:dispDef/>
    <m:lMargin m:val="0"/>
    <m:rMargin m:val="0"/>
    <m:defJc m:val="centerGroup"/>
    <m:wrapIndent m:val="1440"/>
    <m:intLim m:val="subSup"/>
    <m:naryLim m:val="undOvr"/>
  </m:mathPr>
  <w:themeFontLang w:val="ru-R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Пользователь Windows</cp:lastModifiedBy>
  <cp:revision>4</cp:revision>
  <cp:lastPrinted>2021-12-27T04:34:00Z</cp:lastPrinted>
  <dcterms:created xsi:type="dcterms:W3CDTF">2022-02-16T06:40:00Z</dcterms:created>
  <dcterms:modified xsi:type="dcterms:W3CDTF">2022-05-17T07:35:00Z</dcterms:modified>
</cp:coreProperties>
</file>