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9B" w:rsidRDefault="00CF299B" w:rsidP="00CF299B">
      <w:pPr>
        <w:jc w:val="center"/>
        <w:rPr>
          <w:b/>
          <w:sz w:val="24"/>
          <w:szCs w:val="24"/>
          <w:lang w:val="uz-Cyrl-UZ"/>
        </w:rPr>
      </w:pPr>
      <w:r>
        <w:rPr>
          <w:b/>
          <w:sz w:val="24"/>
          <w:szCs w:val="24"/>
          <w:lang w:val="uz-Cyrl-UZ"/>
        </w:rPr>
        <w:t>ШАРТНОМА №</w:t>
      </w:r>
      <w:r>
        <w:rPr>
          <w:b/>
          <w:sz w:val="24"/>
          <w:szCs w:val="24"/>
          <w:lang w:val="en-US"/>
        </w:rPr>
        <w:t>____</w:t>
      </w:r>
    </w:p>
    <w:p w:rsidR="00CF299B" w:rsidRDefault="00CF299B" w:rsidP="00CF299B">
      <w:pPr>
        <w:jc w:val="both"/>
        <w:rPr>
          <w:b/>
          <w:sz w:val="6"/>
          <w:szCs w:val="6"/>
          <w:lang w:val="uz-Cyrl-UZ"/>
        </w:rPr>
      </w:pPr>
      <w:r>
        <w:rPr>
          <w:b/>
          <w:sz w:val="20"/>
          <w:szCs w:val="20"/>
          <w:lang w:val="uz-Cyrl-UZ"/>
        </w:rPr>
        <w:t>“______” _________________2022 йил</w:t>
      </w:r>
      <w:r>
        <w:rPr>
          <w:b/>
          <w:sz w:val="20"/>
          <w:szCs w:val="20"/>
          <w:lang w:val="uz-Cyrl-UZ"/>
        </w:rPr>
        <w:tab/>
      </w:r>
      <w:r>
        <w:rPr>
          <w:b/>
          <w:sz w:val="20"/>
          <w:szCs w:val="20"/>
          <w:lang w:val="uz-Cyrl-UZ"/>
        </w:rPr>
        <w:tab/>
      </w:r>
      <w:r>
        <w:rPr>
          <w:b/>
          <w:sz w:val="20"/>
          <w:szCs w:val="20"/>
          <w:lang w:val="uz-Cyrl-UZ"/>
        </w:rPr>
        <w:tab/>
      </w:r>
      <w:r>
        <w:rPr>
          <w:b/>
          <w:sz w:val="20"/>
          <w:szCs w:val="20"/>
          <w:lang w:val="uz-Cyrl-UZ"/>
        </w:rPr>
        <w:tab/>
      </w:r>
      <w:r>
        <w:rPr>
          <w:b/>
          <w:sz w:val="20"/>
          <w:szCs w:val="20"/>
          <w:lang w:val="uz-Cyrl-UZ"/>
        </w:rPr>
        <w:tab/>
        <w:t xml:space="preserve">                                Шаҳрисабз  шаҳри</w:t>
      </w:r>
      <w:r>
        <w:rPr>
          <w:b/>
          <w:sz w:val="20"/>
          <w:szCs w:val="20"/>
          <w:lang w:val="uz-Cyrl-UZ"/>
        </w:rPr>
        <w:tab/>
      </w:r>
      <w:r>
        <w:rPr>
          <w:b/>
          <w:sz w:val="20"/>
          <w:szCs w:val="20"/>
          <w:lang w:val="uz-Cyrl-UZ"/>
        </w:rPr>
        <w:tab/>
      </w:r>
      <w:r>
        <w:rPr>
          <w:b/>
          <w:sz w:val="20"/>
          <w:szCs w:val="20"/>
          <w:lang w:val="uz-Cyrl-UZ"/>
        </w:rPr>
        <w:tab/>
      </w:r>
      <w:r>
        <w:rPr>
          <w:b/>
          <w:sz w:val="20"/>
          <w:szCs w:val="20"/>
          <w:lang w:val="uz-Cyrl-UZ"/>
        </w:rPr>
        <w:tab/>
      </w:r>
    </w:p>
    <w:p w:rsidR="00CF299B" w:rsidRDefault="00CF299B" w:rsidP="00CF299B">
      <w:pPr>
        <w:spacing w:after="120"/>
        <w:jc w:val="both"/>
        <w:rPr>
          <w:sz w:val="20"/>
          <w:szCs w:val="20"/>
          <w:lang w:val="uz-Cyrl-UZ"/>
        </w:rPr>
      </w:pPr>
      <w:r>
        <w:rPr>
          <w:sz w:val="20"/>
          <w:szCs w:val="20"/>
          <w:lang w:val="uz-Cyrl-UZ"/>
        </w:rPr>
        <w:tab/>
        <w:t xml:space="preserve">Кейинги ўринларда “Буюртмачи” деб юритилган Шаҳрисабз шаҳар Халқ таълими бўлими мудири                                  </w:t>
      </w:r>
      <w:r>
        <w:rPr>
          <w:b/>
          <w:sz w:val="24"/>
          <w:szCs w:val="24"/>
          <w:lang w:val="uz-Cyrl-UZ"/>
        </w:rPr>
        <w:t>Джалилов</w:t>
      </w:r>
      <w:r>
        <w:rPr>
          <w:sz w:val="20"/>
          <w:szCs w:val="20"/>
          <w:lang w:val="uz-Cyrl-UZ"/>
        </w:rPr>
        <w:t xml:space="preserve"> бир томондан Низом асосида иш юритувчи ва кейинги ўринларда </w:t>
      </w:r>
      <w:r>
        <w:rPr>
          <w:b/>
          <w:sz w:val="20"/>
          <w:szCs w:val="20"/>
          <w:lang w:val="uz-Cyrl-UZ"/>
        </w:rPr>
        <w:t xml:space="preserve">“Бош пудратчи” </w:t>
      </w:r>
      <w:r>
        <w:rPr>
          <w:sz w:val="20"/>
          <w:szCs w:val="20"/>
          <w:lang w:val="uz-Cyrl-UZ"/>
        </w:rPr>
        <w:t>деб юритиладиган</w:t>
      </w:r>
      <w:r>
        <w:rPr>
          <w:b/>
          <w:sz w:val="20"/>
          <w:szCs w:val="20"/>
          <w:lang w:val="uz-Cyrl-UZ"/>
        </w:rPr>
        <w:t xml:space="preserve"> ___________________________________</w:t>
      </w:r>
      <w:r>
        <w:rPr>
          <w:sz w:val="20"/>
          <w:szCs w:val="20"/>
          <w:lang w:val="uz-Cyrl-UZ"/>
        </w:rPr>
        <w:t xml:space="preserve"> номидан раҳбар  ________________________________ </w:t>
      </w:r>
    </w:p>
    <w:p w:rsidR="00CF299B" w:rsidRDefault="00CF299B" w:rsidP="00CF299B">
      <w:pPr>
        <w:spacing w:after="120"/>
        <w:jc w:val="both"/>
        <w:rPr>
          <w:sz w:val="20"/>
          <w:szCs w:val="20"/>
          <w:lang w:val="uz-Cyrl-UZ"/>
        </w:rPr>
      </w:pPr>
      <w:r>
        <w:rPr>
          <w:sz w:val="20"/>
          <w:szCs w:val="20"/>
          <w:lang w:val="uz-Cyrl-UZ"/>
        </w:rPr>
        <w:t>Низом асосида иш юритувчи иккинчи томондан мазкур шартномани қуйидаги мазмунда туздилар:</w:t>
      </w:r>
    </w:p>
    <w:p w:rsidR="00CF299B" w:rsidRDefault="00CF299B" w:rsidP="00CF299B">
      <w:pPr>
        <w:pStyle w:val="a4"/>
        <w:numPr>
          <w:ilvl w:val="0"/>
          <w:numId w:val="1"/>
        </w:numPr>
        <w:spacing w:after="120"/>
        <w:jc w:val="center"/>
        <w:rPr>
          <w:b/>
          <w:sz w:val="20"/>
          <w:szCs w:val="20"/>
          <w:lang w:val="uz-Cyrl-UZ"/>
        </w:rPr>
      </w:pPr>
      <w:r>
        <w:rPr>
          <w:b/>
          <w:sz w:val="20"/>
          <w:szCs w:val="20"/>
          <w:lang w:val="uz-Cyrl-UZ"/>
        </w:rPr>
        <w:t>ШАРТНОМАНИНГ МАЗМУНИ</w:t>
      </w:r>
    </w:p>
    <w:p w:rsidR="00CF299B" w:rsidRDefault="00CF299B" w:rsidP="00CF299B">
      <w:pPr>
        <w:pStyle w:val="a4"/>
        <w:rPr>
          <w:sz w:val="16"/>
          <w:szCs w:val="16"/>
          <w:lang w:val="uz-Cyrl-UZ"/>
        </w:rPr>
      </w:pPr>
    </w:p>
    <w:p w:rsidR="00CF299B" w:rsidRDefault="00CF299B" w:rsidP="00CF299B">
      <w:pPr>
        <w:pStyle w:val="a4"/>
        <w:numPr>
          <w:ilvl w:val="1"/>
          <w:numId w:val="1"/>
        </w:numPr>
        <w:jc w:val="both"/>
        <w:rPr>
          <w:sz w:val="20"/>
          <w:szCs w:val="20"/>
          <w:lang w:val="uz-Cyrl-UZ"/>
        </w:rPr>
      </w:pPr>
      <w:r>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 ___ сонли мактабни таъмирлаш ишларини бажариб беришни ўз зиммасига олади . </w:t>
      </w:r>
    </w:p>
    <w:p w:rsidR="00CF299B" w:rsidRDefault="00CF299B" w:rsidP="00CF299B">
      <w:pPr>
        <w:pStyle w:val="a4"/>
        <w:numPr>
          <w:ilvl w:val="1"/>
          <w:numId w:val="1"/>
        </w:numPr>
        <w:jc w:val="both"/>
        <w:rPr>
          <w:sz w:val="20"/>
          <w:szCs w:val="20"/>
          <w:lang w:val="uz-Cyrl-UZ"/>
        </w:rPr>
      </w:pPr>
      <w:r>
        <w:rPr>
          <w:sz w:val="20"/>
          <w:szCs w:val="20"/>
          <w:lang w:val="uz-Cyrl-UZ"/>
        </w:rPr>
        <w:t>“Буюртмачи” эса “Бош пудратчи” га қурилиш-таъмирлаш ишларини бажариш учун зурур бўлгшан шароитларни, тегишли лойиҳа хужжатлари билан таъминлаш, бажарилган мактаб биносини газлаштириш ва жорий таъмирлаш ишларини тегишли тартибда қабул қилиб, тулов ишларини амалга ошириш мажбуриятларини ўз зиммасига олади.</w:t>
      </w:r>
    </w:p>
    <w:p w:rsidR="00CF299B" w:rsidRDefault="00CF299B" w:rsidP="00CF299B">
      <w:pPr>
        <w:pStyle w:val="a4"/>
        <w:numPr>
          <w:ilvl w:val="1"/>
          <w:numId w:val="1"/>
        </w:numPr>
        <w:spacing w:after="120"/>
        <w:jc w:val="both"/>
        <w:rPr>
          <w:b/>
          <w:sz w:val="20"/>
          <w:szCs w:val="20"/>
          <w:lang w:val="uz-Cyrl-UZ"/>
        </w:rPr>
      </w:pPr>
      <w:r>
        <w:rPr>
          <w:sz w:val="20"/>
          <w:szCs w:val="20"/>
          <w:lang w:val="uz-Cyrl-UZ"/>
        </w:rPr>
        <w:t xml:space="preserve">Объектда жорий таъмирлаш ишларини бажаришў муддати </w:t>
      </w:r>
      <w:r>
        <w:rPr>
          <w:b/>
          <w:sz w:val="20"/>
          <w:szCs w:val="20"/>
          <w:lang w:val="uz-Cyrl-UZ"/>
        </w:rPr>
        <w:t>“____” ____________2022 йилдан                                       “ 31 ” декабрь  2022 йилгача.</w:t>
      </w:r>
    </w:p>
    <w:p w:rsidR="00CF299B" w:rsidRDefault="00CF299B" w:rsidP="00CF299B">
      <w:pPr>
        <w:pStyle w:val="a4"/>
        <w:jc w:val="both"/>
        <w:rPr>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t>ШАРТНОМАНИНГ БАҲОСИ.</w:t>
      </w:r>
    </w:p>
    <w:p w:rsidR="00CF299B" w:rsidRDefault="00CF299B" w:rsidP="00CF299B">
      <w:pPr>
        <w:pStyle w:val="a4"/>
        <w:rPr>
          <w:sz w:val="6"/>
          <w:szCs w:val="6"/>
          <w:lang w:val="uz-Cyrl-UZ"/>
        </w:rPr>
      </w:pPr>
    </w:p>
    <w:p w:rsidR="00CF299B" w:rsidRDefault="00CF299B" w:rsidP="00CF299B">
      <w:pPr>
        <w:pStyle w:val="a4"/>
        <w:numPr>
          <w:ilvl w:val="1"/>
          <w:numId w:val="1"/>
        </w:numPr>
        <w:spacing w:after="240"/>
        <w:ind w:left="709" w:hanging="349"/>
        <w:jc w:val="both"/>
        <w:rPr>
          <w:sz w:val="20"/>
          <w:szCs w:val="20"/>
          <w:lang w:val="uz-Cyrl-UZ"/>
        </w:rPr>
      </w:pPr>
      <w:r>
        <w:rPr>
          <w:sz w:val="20"/>
          <w:szCs w:val="20"/>
          <w:lang w:val="uz-Cyrl-UZ"/>
        </w:rPr>
        <w:t>Мазкур шартнома бўйича “Бош пудратчи” томонидан бажариладиган ишлар қиймати барча солиқлар   (</w:t>
      </w:r>
      <w:r>
        <w:rPr>
          <w:b/>
          <w:sz w:val="20"/>
          <w:szCs w:val="20"/>
          <w:lang w:val="uz-Cyrl-UZ"/>
        </w:rPr>
        <w:t>ҚҚС қўшилмаган ҳолда</w:t>
      </w:r>
      <w:r>
        <w:rPr>
          <w:sz w:val="20"/>
          <w:szCs w:val="20"/>
          <w:lang w:val="uz-Cyrl-UZ"/>
        </w:rPr>
        <w:t xml:space="preserve">), йиғимлар ва ажратмаларни ўз ичига олган ҳолда </w:t>
      </w:r>
    </w:p>
    <w:p w:rsidR="00CF299B" w:rsidRDefault="00CF299B" w:rsidP="00CF299B">
      <w:pPr>
        <w:pStyle w:val="a4"/>
        <w:ind w:left="709"/>
        <w:jc w:val="both"/>
        <w:rPr>
          <w:sz w:val="6"/>
          <w:szCs w:val="6"/>
          <w:lang w:val="uz-Cyrl-UZ"/>
        </w:rPr>
      </w:pPr>
    </w:p>
    <w:p w:rsidR="00CF299B" w:rsidRDefault="00CF299B" w:rsidP="00CF299B">
      <w:pPr>
        <w:pStyle w:val="a4"/>
        <w:ind w:left="709"/>
        <w:jc w:val="both"/>
        <w:rPr>
          <w:sz w:val="20"/>
          <w:szCs w:val="20"/>
          <w:lang w:val="uz-Cyrl-UZ"/>
        </w:rPr>
      </w:pPr>
      <w:r>
        <w:rPr>
          <w:sz w:val="20"/>
          <w:szCs w:val="20"/>
          <w:lang w:val="uz-Cyrl-UZ"/>
        </w:rPr>
        <w:t>______________________________________________________________________________________сўм</w:t>
      </w:r>
    </w:p>
    <w:p w:rsidR="00CF299B" w:rsidRDefault="00CF299B" w:rsidP="00CF299B">
      <w:pPr>
        <w:pStyle w:val="a4"/>
        <w:ind w:left="0"/>
        <w:jc w:val="both"/>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Қурилиш баҳоси ва муддати мазкур шартномада назарда тутилиши мумкин бўлагн қурилиш   ҳажмининг ошиши ёки камаёиши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CF299B" w:rsidRDefault="00CF299B" w:rsidP="00CF299B">
      <w:pPr>
        <w:pStyle w:val="a4"/>
        <w:numPr>
          <w:ilvl w:val="1"/>
          <w:numId w:val="1"/>
        </w:numPr>
        <w:spacing w:after="120"/>
        <w:jc w:val="both"/>
        <w:rPr>
          <w:sz w:val="20"/>
          <w:szCs w:val="20"/>
          <w:lang w:val="uz-Cyrl-UZ"/>
        </w:rPr>
      </w:pPr>
      <w:r>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CF299B" w:rsidRDefault="00CF299B" w:rsidP="00CF299B">
      <w:pPr>
        <w:pStyle w:val="a4"/>
        <w:jc w:val="both"/>
        <w:rPr>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t>ШАРТНОМА БЎЙИЧА МАЖБУРИЯТЛАР.</w:t>
      </w:r>
    </w:p>
    <w:p w:rsidR="00CF299B" w:rsidRDefault="00CF299B" w:rsidP="00CF299B">
      <w:pPr>
        <w:pStyle w:val="a4"/>
        <w:ind w:hanging="436"/>
        <w:rPr>
          <w:b/>
          <w:sz w:val="20"/>
          <w:szCs w:val="20"/>
          <w:lang w:val="uz-Cyrl-UZ"/>
        </w:rPr>
      </w:pPr>
      <w:r>
        <w:rPr>
          <w:b/>
          <w:sz w:val="20"/>
          <w:szCs w:val="20"/>
          <w:lang w:val="uz-Cyrl-UZ"/>
        </w:rPr>
        <w:t xml:space="preserve">“Бош пудратчи”  </w:t>
      </w:r>
    </w:p>
    <w:p w:rsidR="00CF299B" w:rsidRDefault="00CF299B" w:rsidP="00CF299B">
      <w:pPr>
        <w:pStyle w:val="a4"/>
        <w:ind w:hanging="436"/>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Мактаб биносини газлаштириш ва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CF299B" w:rsidRDefault="00CF299B" w:rsidP="00CF299B">
      <w:pPr>
        <w:pStyle w:val="a4"/>
        <w:numPr>
          <w:ilvl w:val="1"/>
          <w:numId w:val="1"/>
        </w:numPr>
        <w:jc w:val="both"/>
        <w:rPr>
          <w:sz w:val="20"/>
          <w:szCs w:val="20"/>
          <w:lang w:val="uz-Cyrl-UZ"/>
        </w:rPr>
      </w:pPr>
      <w:r>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CF299B" w:rsidRDefault="00CF299B" w:rsidP="00CF299B">
      <w:pPr>
        <w:pStyle w:val="a4"/>
        <w:numPr>
          <w:ilvl w:val="1"/>
          <w:numId w:val="1"/>
        </w:numPr>
        <w:jc w:val="both"/>
        <w:rPr>
          <w:sz w:val="20"/>
          <w:szCs w:val="20"/>
          <w:lang w:val="uz-Cyrl-UZ"/>
        </w:rPr>
      </w:pPr>
      <w:r>
        <w:rPr>
          <w:sz w:val="20"/>
          <w:szCs w:val="20"/>
          <w:lang w:val="uz-Cyrl-UZ"/>
        </w:rPr>
        <w:t>“Буюртмачи” ни ўзи билан учинчи (Суб пудратчи) шахслар ўртасида тузилаётган шартнома ҳақиджа хабардор қилиш.</w:t>
      </w:r>
    </w:p>
    <w:p w:rsidR="00CF299B" w:rsidRDefault="00CF299B" w:rsidP="00CF299B">
      <w:pPr>
        <w:pStyle w:val="a4"/>
        <w:numPr>
          <w:ilvl w:val="1"/>
          <w:numId w:val="1"/>
        </w:numPr>
        <w:jc w:val="both"/>
        <w:rPr>
          <w:sz w:val="20"/>
          <w:szCs w:val="20"/>
          <w:lang w:val="uz-Cyrl-UZ"/>
        </w:rPr>
      </w:pPr>
      <w:r>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CF299B" w:rsidRDefault="00CF299B" w:rsidP="00CF299B">
      <w:pPr>
        <w:pStyle w:val="a4"/>
        <w:numPr>
          <w:ilvl w:val="1"/>
          <w:numId w:val="1"/>
        </w:numPr>
        <w:jc w:val="both"/>
        <w:rPr>
          <w:sz w:val="20"/>
          <w:szCs w:val="20"/>
          <w:lang w:val="uz-Cyrl-UZ"/>
        </w:rPr>
      </w:pPr>
      <w:r>
        <w:rPr>
          <w:sz w:val="20"/>
          <w:szCs w:val="20"/>
          <w:lang w:val="uz-Cyrl-UZ"/>
        </w:rPr>
        <w:t>Мактаб биносини газлаштириш ишлари ва жорий таъмирлаш бажарилаётган объектда экология ва тозаликка риоя этган ҳолад техника ва ёнғин хавфсизлиги тадбирларини таъминлаш;</w:t>
      </w:r>
    </w:p>
    <w:p w:rsidR="00CF299B" w:rsidRDefault="00CF299B" w:rsidP="00CF299B">
      <w:pPr>
        <w:pStyle w:val="a4"/>
        <w:numPr>
          <w:ilvl w:val="1"/>
          <w:numId w:val="1"/>
        </w:numPr>
        <w:spacing w:after="120"/>
        <w:jc w:val="both"/>
        <w:rPr>
          <w:sz w:val="20"/>
          <w:szCs w:val="20"/>
          <w:lang w:val="uz-Cyrl-UZ"/>
        </w:rPr>
      </w:pPr>
      <w:r>
        <w:rPr>
          <w:sz w:val="20"/>
          <w:szCs w:val="20"/>
          <w:lang w:val="uz-Cyrl-UZ"/>
        </w:rPr>
        <w:t>Ўзи томонидан келтирилган қурилиш материалларининг лойиҳада назарда тутилган талабларга (стандарт ва ҳ.к.) жавоб беришини таъминлаш.</w:t>
      </w:r>
    </w:p>
    <w:p w:rsidR="00CF299B" w:rsidRDefault="00CF299B" w:rsidP="00CF299B">
      <w:pPr>
        <w:spacing w:after="120"/>
        <w:ind w:left="360"/>
        <w:rPr>
          <w:b/>
          <w:sz w:val="20"/>
          <w:szCs w:val="20"/>
          <w:lang w:val="uz-Cyrl-UZ"/>
        </w:rPr>
      </w:pPr>
      <w:r>
        <w:rPr>
          <w:b/>
          <w:sz w:val="20"/>
          <w:szCs w:val="20"/>
          <w:lang w:val="uz-Cyrl-UZ"/>
        </w:rPr>
        <w:t>“Буюртмачи”</w:t>
      </w:r>
    </w:p>
    <w:p w:rsidR="00CF299B" w:rsidRDefault="00CF299B" w:rsidP="00CF299B">
      <w:pPr>
        <w:pStyle w:val="a4"/>
        <w:numPr>
          <w:ilvl w:val="1"/>
          <w:numId w:val="1"/>
        </w:numPr>
        <w:jc w:val="both"/>
        <w:rPr>
          <w:sz w:val="20"/>
          <w:szCs w:val="20"/>
          <w:lang w:val="uz-Cyrl-UZ"/>
        </w:rPr>
      </w:pPr>
      <w:r>
        <w:rPr>
          <w:sz w:val="20"/>
          <w:szCs w:val="20"/>
          <w:lang w:val="uz-Cyrl-UZ"/>
        </w:rPr>
        <w:lastRenderedPageBreak/>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CF299B" w:rsidRDefault="00CF299B" w:rsidP="00CF299B">
      <w:pPr>
        <w:pStyle w:val="a4"/>
        <w:numPr>
          <w:ilvl w:val="1"/>
          <w:numId w:val="1"/>
        </w:numPr>
        <w:jc w:val="both"/>
        <w:rPr>
          <w:sz w:val="20"/>
          <w:szCs w:val="20"/>
          <w:lang w:val="uz-Cyrl-UZ"/>
        </w:rPr>
      </w:pPr>
      <w:r>
        <w:rPr>
          <w:sz w:val="20"/>
          <w:szCs w:val="20"/>
          <w:lang w:val="uz-Cyrl-UZ"/>
        </w:rPr>
        <w:t>Шартномада назарда тутилган миқдорда ва муддатда бажарилган мактаб биносини газлаштириш ва жорий таъмирлаш ишлари учун  “Бош пудратчи” га ҳақ тулаш.</w:t>
      </w:r>
    </w:p>
    <w:p w:rsidR="00CF299B" w:rsidRDefault="00CF299B" w:rsidP="00CF299B">
      <w:pPr>
        <w:pStyle w:val="a4"/>
        <w:numPr>
          <w:ilvl w:val="1"/>
          <w:numId w:val="1"/>
        </w:numPr>
        <w:jc w:val="both"/>
        <w:rPr>
          <w:sz w:val="20"/>
          <w:szCs w:val="20"/>
          <w:lang w:val="uz-Cyrl-UZ"/>
        </w:rPr>
      </w:pPr>
      <w:r>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CF299B" w:rsidRDefault="00CF299B" w:rsidP="00CF299B">
      <w:pPr>
        <w:pStyle w:val="a4"/>
        <w:numPr>
          <w:ilvl w:val="1"/>
          <w:numId w:val="1"/>
        </w:numPr>
        <w:rPr>
          <w:sz w:val="20"/>
          <w:szCs w:val="20"/>
          <w:lang w:val="uz-Cyrl-UZ"/>
        </w:rPr>
      </w:pPr>
      <w:r>
        <w:rPr>
          <w:sz w:val="20"/>
          <w:szCs w:val="20"/>
          <w:lang w:val="uz-Cyrl-UZ"/>
        </w:rPr>
        <w:t>Календар иш режаси асосида бажарилган ишларни тегишли тартибда қабул қилиб олиш.</w:t>
      </w:r>
    </w:p>
    <w:p w:rsidR="00CF299B" w:rsidRDefault="00CF299B" w:rsidP="00CF299B">
      <w:pPr>
        <w:rPr>
          <w:sz w:val="20"/>
          <w:szCs w:val="20"/>
          <w:lang w:val="uz-Cyrl-UZ"/>
        </w:rPr>
      </w:pPr>
    </w:p>
    <w:p w:rsidR="00CF299B" w:rsidRDefault="00CF299B" w:rsidP="00CF299B">
      <w:pPr>
        <w:pStyle w:val="a4"/>
        <w:rPr>
          <w:sz w:val="20"/>
          <w:szCs w:val="20"/>
          <w:lang w:val="uz-Cyrl-UZ"/>
        </w:rPr>
      </w:pPr>
    </w:p>
    <w:p w:rsidR="00CF299B" w:rsidRDefault="00CF299B" w:rsidP="00CF299B">
      <w:pPr>
        <w:pStyle w:val="a4"/>
        <w:numPr>
          <w:ilvl w:val="0"/>
          <w:numId w:val="1"/>
        </w:numPr>
        <w:spacing w:after="120"/>
        <w:jc w:val="center"/>
        <w:rPr>
          <w:b/>
          <w:sz w:val="20"/>
          <w:szCs w:val="20"/>
          <w:lang w:val="uz-Cyrl-UZ"/>
        </w:rPr>
      </w:pPr>
      <w:r>
        <w:rPr>
          <w:b/>
          <w:sz w:val="20"/>
          <w:szCs w:val="20"/>
          <w:lang w:val="uz-Cyrl-UZ"/>
        </w:rPr>
        <w:t>ТЎЛОВ ВА ҲИСОБ-КИТОБЛАР.</w:t>
      </w:r>
    </w:p>
    <w:p w:rsidR="00CF299B" w:rsidRDefault="00CF299B" w:rsidP="00CF299B">
      <w:pPr>
        <w:pStyle w:val="a4"/>
        <w:ind w:hanging="294"/>
        <w:rPr>
          <w:b/>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 xml:space="preserve">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 (иш хизмат) етказиб берувчилар билан тузилган шартномалари мажбурий тарзда Ғазначилик бўлинмасидан ўтказилгандан сунг бажариладиган ишлар бўйича 30 кун ичида олдиндан </w:t>
      </w:r>
      <w:r w:rsidR="0058060C" w:rsidRPr="0058060C">
        <w:rPr>
          <w:sz w:val="20"/>
          <w:szCs w:val="20"/>
          <w:lang w:val="uz-Cyrl-UZ"/>
        </w:rPr>
        <w:t>30</w:t>
      </w:r>
      <w:r>
        <w:rPr>
          <w:sz w:val="20"/>
          <w:szCs w:val="20"/>
          <w:lang w:val="uz-Cyrl-UZ"/>
        </w:rPr>
        <w:t xml:space="preserve"> % тул</w:t>
      </w:r>
      <w:r w:rsidR="0058060C">
        <w:rPr>
          <w:sz w:val="20"/>
          <w:szCs w:val="20"/>
          <w:lang w:val="uz-Cyrl-UZ"/>
        </w:rPr>
        <w:t xml:space="preserve">ов амалга оширилади ва қолган </w:t>
      </w:r>
      <w:r w:rsidR="0058060C" w:rsidRPr="0058060C">
        <w:rPr>
          <w:sz w:val="20"/>
          <w:szCs w:val="20"/>
          <w:lang w:val="uz-Cyrl-UZ"/>
        </w:rPr>
        <w:t>70</w:t>
      </w:r>
      <w:r>
        <w:rPr>
          <w:sz w:val="20"/>
          <w:szCs w:val="20"/>
          <w:lang w:val="uz-Cyrl-UZ"/>
        </w:rPr>
        <w:t xml:space="preserve"> % тулови тақдим этилган ҳисоб-фактураларга асосан амалга оширилади.</w:t>
      </w:r>
    </w:p>
    <w:p w:rsidR="00CF299B" w:rsidRDefault="00CF299B" w:rsidP="00CF299B">
      <w:pPr>
        <w:pStyle w:val="a4"/>
        <w:numPr>
          <w:ilvl w:val="1"/>
          <w:numId w:val="1"/>
        </w:numPr>
        <w:spacing w:after="120"/>
        <w:jc w:val="both"/>
        <w:rPr>
          <w:sz w:val="20"/>
          <w:szCs w:val="20"/>
          <w:lang w:val="uz-Cyrl-UZ"/>
        </w:rPr>
      </w:pPr>
      <w:r>
        <w:rPr>
          <w:sz w:val="20"/>
          <w:szCs w:val="20"/>
          <w:lang w:val="uz-Cyrl-UZ"/>
        </w:rPr>
        <w:t xml:space="preserve">Бажарилган ишларда аниқланган камчиликлар бартараф этилмагунга қадар тулов кечиктирилиши мумкин. </w:t>
      </w:r>
    </w:p>
    <w:p w:rsidR="00CF299B" w:rsidRDefault="00CF299B" w:rsidP="00CF299B">
      <w:pPr>
        <w:pStyle w:val="a4"/>
        <w:spacing w:after="120"/>
        <w:jc w:val="both"/>
        <w:rPr>
          <w:sz w:val="12"/>
          <w:szCs w:val="12"/>
          <w:lang w:val="uz-Cyrl-UZ"/>
        </w:rPr>
      </w:pPr>
    </w:p>
    <w:p w:rsidR="00CF299B" w:rsidRDefault="00CF299B" w:rsidP="00CF299B">
      <w:pPr>
        <w:pStyle w:val="a4"/>
        <w:numPr>
          <w:ilvl w:val="0"/>
          <w:numId w:val="1"/>
        </w:numPr>
        <w:spacing w:after="120"/>
        <w:jc w:val="center"/>
        <w:rPr>
          <w:b/>
          <w:sz w:val="20"/>
          <w:szCs w:val="20"/>
          <w:lang w:val="uz-Cyrl-UZ"/>
        </w:rPr>
      </w:pPr>
      <w:r>
        <w:rPr>
          <w:b/>
          <w:sz w:val="20"/>
          <w:szCs w:val="20"/>
          <w:lang w:val="uz-Cyrl-UZ"/>
        </w:rPr>
        <w:t>ИШЛАРНИ ОЛИБ БОРИШ ВА КАФОЛАТ МУДДАТИ</w:t>
      </w:r>
    </w:p>
    <w:p w:rsidR="00CF299B" w:rsidRDefault="00CF299B" w:rsidP="00CF299B">
      <w:pPr>
        <w:pStyle w:val="a4"/>
        <w:jc w:val="both"/>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“Буюртмачи” қурилиш объектига ўз вакили “Техникназоратчи” ни тайинлайди. У “Буюртмачи”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CF299B" w:rsidRDefault="00CF299B" w:rsidP="00CF299B">
      <w:pPr>
        <w:pStyle w:val="a4"/>
        <w:numPr>
          <w:ilvl w:val="1"/>
          <w:numId w:val="1"/>
        </w:numPr>
        <w:jc w:val="both"/>
        <w:rPr>
          <w:sz w:val="20"/>
          <w:szCs w:val="20"/>
          <w:lang w:val="uz-Cyrl-UZ"/>
        </w:rPr>
      </w:pPr>
      <w:r>
        <w:rPr>
          <w:sz w:val="20"/>
          <w:szCs w:val="20"/>
          <w:lang w:val="uz-Cyrl-UZ"/>
        </w:rPr>
        <w:t>Мактаб биносини газлаштириш ва жорий таъмирлаш ишлари иш графигига, календар иш режасига кўрсатилган муддатгача “Бош пудратчи” томонидан бажарилади.</w:t>
      </w:r>
    </w:p>
    <w:p w:rsidR="00CF299B" w:rsidRDefault="00CF299B" w:rsidP="00CF299B">
      <w:pPr>
        <w:pStyle w:val="a4"/>
        <w:numPr>
          <w:ilvl w:val="1"/>
          <w:numId w:val="1"/>
        </w:numPr>
        <w:jc w:val="both"/>
        <w:rPr>
          <w:sz w:val="20"/>
          <w:szCs w:val="20"/>
          <w:lang w:val="uz-Cyrl-UZ"/>
        </w:rPr>
      </w:pPr>
      <w:r>
        <w:rPr>
          <w:sz w:val="20"/>
          <w:szCs w:val="20"/>
          <w:lang w:val="uz-Cyrl-UZ"/>
        </w:rPr>
        <w:t>Қурилиш майдонида бажарилган мактаб биносини газлаштириш жорйи таъмирлаш ишларини лойиҳа хужжатлари ва қурилиш қонун қоидалари талабларига жавоб бериш учун “Бош пудратчи” маъсул саналади.</w:t>
      </w:r>
    </w:p>
    <w:p w:rsidR="00CF299B" w:rsidRDefault="00CF299B" w:rsidP="00CF299B">
      <w:pPr>
        <w:pStyle w:val="a4"/>
        <w:numPr>
          <w:ilvl w:val="1"/>
          <w:numId w:val="1"/>
        </w:numPr>
        <w:jc w:val="both"/>
        <w:rPr>
          <w:sz w:val="20"/>
          <w:szCs w:val="20"/>
          <w:lang w:val="uz-Cyrl-UZ"/>
        </w:rPr>
      </w:pPr>
      <w:r>
        <w:rPr>
          <w:sz w:val="20"/>
          <w:szCs w:val="20"/>
          <w:lang w:val="uz-Cyrl-UZ"/>
        </w:rPr>
        <w:t>Объект ва унга кирадиган мухандислик тизимларини қурилиш материаллари, жиҳозларидан фойдаланиш 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CF299B" w:rsidRDefault="00CF299B" w:rsidP="00CF299B">
      <w:pPr>
        <w:pStyle w:val="a4"/>
        <w:numPr>
          <w:ilvl w:val="1"/>
          <w:numId w:val="1"/>
        </w:numPr>
        <w:jc w:val="both"/>
        <w:rPr>
          <w:sz w:val="20"/>
          <w:szCs w:val="20"/>
          <w:lang w:val="uz-Cyrl-UZ"/>
        </w:rPr>
      </w:pPr>
      <w:r>
        <w:rPr>
          <w:sz w:val="20"/>
          <w:szCs w:val="20"/>
          <w:lang w:val="uz-Cyrl-UZ"/>
        </w:rPr>
        <w:t>Сифатсиз бажарилагн ишларни қайта тиклаш учун сарф қилинган қўшимча харажатлар шартнома қийматидан ташқари бўлиб, айбдор ҳисобидан қопланади.</w:t>
      </w:r>
    </w:p>
    <w:p w:rsidR="00CF299B" w:rsidRDefault="00CF299B" w:rsidP="00CF299B">
      <w:pPr>
        <w:pStyle w:val="a4"/>
        <w:numPr>
          <w:ilvl w:val="1"/>
          <w:numId w:val="1"/>
        </w:numPr>
        <w:jc w:val="both"/>
        <w:rPr>
          <w:sz w:val="20"/>
          <w:szCs w:val="20"/>
          <w:lang w:val="uz-Cyrl-UZ"/>
        </w:rPr>
      </w:pPr>
      <w:r>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CF299B" w:rsidRDefault="00CF299B" w:rsidP="00CF299B">
      <w:pPr>
        <w:pStyle w:val="a4"/>
        <w:jc w:val="both"/>
        <w:rPr>
          <w:b/>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t>ҚУРИЛИШНИ КОНСЕРВАЦИЯЛАШ ВА ФОРС-МАЖОР ҲОЛАТИ</w:t>
      </w:r>
    </w:p>
    <w:p w:rsidR="00CF299B" w:rsidRDefault="00CF299B" w:rsidP="00CF299B">
      <w:pPr>
        <w:pStyle w:val="a4"/>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Қурилишни консрвациялашда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CF299B" w:rsidRDefault="00CF299B" w:rsidP="00CF299B">
      <w:pPr>
        <w:pStyle w:val="a4"/>
        <w:numPr>
          <w:ilvl w:val="1"/>
          <w:numId w:val="1"/>
        </w:numPr>
        <w:jc w:val="both"/>
        <w:rPr>
          <w:sz w:val="20"/>
          <w:szCs w:val="20"/>
          <w:lang w:val="uz-Cyrl-UZ"/>
        </w:rPr>
      </w:pPr>
      <w:r>
        <w:rPr>
          <w:sz w:val="20"/>
          <w:szCs w:val="20"/>
          <w:lang w:val="uz-Cyrl-UZ"/>
        </w:rPr>
        <w:t>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CF299B" w:rsidRDefault="00CF299B" w:rsidP="00CF299B">
      <w:pPr>
        <w:pStyle w:val="a4"/>
        <w:numPr>
          <w:ilvl w:val="1"/>
          <w:numId w:val="1"/>
        </w:numPr>
        <w:jc w:val="both"/>
        <w:rPr>
          <w:sz w:val="20"/>
          <w:szCs w:val="20"/>
          <w:lang w:val="uz-Cyrl-UZ"/>
        </w:rPr>
      </w:pPr>
      <w:r>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CF299B" w:rsidRDefault="00CF299B" w:rsidP="00CF299B">
      <w:pPr>
        <w:pStyle w:val="a4"/>
        <w:jc w:val="both"/>
        <w:rPr>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lastRenderedPageBreak/>
        <w:t>ШАРТНОМАНИ БЕКОР ҚИЛИШ.</w:t>
      </w:r>
    </w:p>
    <w:p w:rsidR="00CF299B" w:rsidRDefault="00CF299B" w:rsidP="00CF299B">
      <w:pPr>
        <w:pStyle w:val="a4"/>
        <w:rPr>
          <w:b/>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CF299B" w:rsidRDefault="00CF299B" w:rsidP="00CF299B">
      <w:pPr>
        <w:pStyle w:val="a4"/>
        <w:numPr>
          <w:ilvl w:val="1"/>
          <w:numId w:val="1"/>
        </w:numPr>
        <w:jc w:val="both"/>
        <w:rPr>
          <w:sz w:val="20"/>
          <w:szCs w:val="20"/>
          <w:lang w:val="uz-Cyrl-UZ"/>
        </w:rPr>
      </w:pPr>
      <w:r>
        <w:rPr>
          <w:sz w:val="20"/>
          <w:szCs w:val="20"/>
          <w:lang w:val="uz-Cyrl-UZ"/>
        </w:rPr>
        <w:t>“Буюртмачи” “Бош пудратчи” томонидан асоссиз равишда икки ойдан ортиқ вақт мабойнида қурилиш ишлари тухтатилиб қўйилганда, молиялаштиришни тухтатиб қўйиш ҳуқуқига эгадир.</w:t>
      </w:r>
    </w:p>
    <w:p w:rsidR="00CF299B" w:rsidRDefault="00CF299B" w:rsidP="00CF299B">
      <w:pPr>
        <w:pStyle w:val="a4"/>
        <w:numPr>
          <w:ilvl w:val="1"/>
          <w:numId w:val="1"/>
        </w:numPr>
        <w:jc w:val="both"/>
        <w:rPr>
          <w:sz w:val="20"/>
          <w:szCs w:val="20"/>
          <w:lang w:val="uz-Cyrl-UZ"/>
        </w:rPr>
      </w:pPr>
      <w:r>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CF299B" w:rsidRDefault="00CF299B" w:rsidP="00CF299B">
      <w:pPr>
        <w:pStyle w:val="a4"/>
        <w:numPr>
          <w:ilvl w:val="1"/>
          <w:numId w:val="1"/>
        </w:numPr>
        <w:jc w:val="both"/>
        <w:rPr>
          <w:sz w:val="20"/>
          <w:szCs w:val="20"/>
          <w:lang w:val="uz-Cyrl-UZ"/>
        </w:rPr>
      </w:pPr>
      <w:r>
        <w:rPr>
          <w:sz w:val="20"/>
          <w:szCs w:val="20"/>
          <w:lang w:val="uz-Cyrl-UZ"/>
        </w:rPr>
        <w:t>Шартнома бекор қилинганда айбдор томон иккинчи томонга етказилган зарар ва бой берилган фойда ни тўлайди.</w:t>
      </w:r>
    </w:p>
    <w:p w:rsidR="00CF299B" w:rsidRDefault="00CF299B" w:rsidP="00CF299B">
      <w:pPr>
        <w:pStyle w:val="a4"/>
        <w:numPr>
          <w:ilvl w:val="0"/>
          <w:numId w:val="1"/>
        </w:numPr>
        <w:jc w:val="center"/>
        <w:rPr>
          <w:b/>
          <w:sz w:val="20"/>
          <w:szCs w:val="20"/>
          <w:lang w:val="uz-Cyrl-UZ"/>
        </w:rPr>
      </w:pPr>
      <w:r>
        <w:rPr>
          <w:b/>
          <w:sz w:val="20"/>
          <w:szCs w:val="20"/>
          <w:lang w:val="uz-Cyrl-UZ"/>
        </w:rPr>
        <w:t>ТОМОНЛАРНИНГ МУЛКИЙ ЖАВОБГАРЛИГИ.</w:t>
      </w:r>
    </w:p>
    <w:p w:rsidR="00CF299B" w:rsidRDefault="00CF299B" w:rsidP="00CF299B">
      <w:pPr>
        <w:pStyle w:val="a4"/>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CF299B" w:rsidRDefault="00CF299B" w:rsidP="00CF299B">
      <w:pPr>
        <w:pStyle w:val="a4"/>
        <w:numPr>
          <w:ilvl w:val="1"/>
          <w:numId w:val="1"/>
        </w:numPr>
        <w:jc w:val="both"/>
        <w:rPr>
          <w:sz w:val="20"/>
          <w:szCs w:val="20"/>
          <w:lang w:val="uz-Cyrl-UZ"/>
        </w:rPr>
      </w:pPr>
      <w:r>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CF299B" w:rsidRDefault="00CF299B" w:rsidP="00CF299B">
      <w:pPr>
        <w:pStyle w:val="a4"/>
        <w:numPr>
          <w:ilvl w:val="1"/>
          <w:numId w:val="1"/>
        </w:numPr>
        <w:jc w:val="both"/>
        <w:rPr>
          <w:sz w:val="20"/>
          <w:szCs w:val="20"/>
          <w:lang w:val="uz-Cyrl-UZ"/>
        </w:rPr>
      </w:pPr>
      <w:r>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CF299B" w:rsidRDefault="00CF299B" w:rsidP="00CF299B">
      <w:pPr>
        <w:pStyle w:val="a4"/>
        <w:numPr>
          <w:ilvl w:val="1"/>
          <w:numId w:val="1"/>
        </w:numPr>
        <w:jc w:val="both"/>
        <w:rPr>
          <w:sz w:val="20"/>
          <w:szCs w:val="20"/>
          <w:lang w:val="uz-Cyrl-UZ"/>
        </w:rPr>
      </w:pPr>
      <w:r>
        <w:rPr>
          <w:sz w:val="20"/>
          <w:szCs w:val="20"/>
          <w:lang w:val="uz-Cyrl-UZ"/>
        </w:rPr>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CF299B" w:rsidRDefault="00CF299B" w:rsidP="00CF299B">
      <w:pPr>
        <w:pStyle w:val="a4"/>
        <w:numPr>
          <w:ilvl w:val="1"/>
          <w:numId w:val="1"/>
        </w:numPr>
        <w:jc w:val="both"/>
        <w:rPr>
          <w:sz w:val="20"/>
          <w:szCs w:val="20"/>
          <w:lang w:val="uz-Cyrl-UZ"/>
        </w:rPr>
      </w:pPr>
      <w:r>
        <w:rPr>
          <w:sz w:val="20"/>
          <w:szCs w:val="20"/>
          <w:lang w:val="uz-Cyrl-UZ"/>
        </w:rPr>
        <w:t>“Буюртмачи” дан олинган фойдаланилмаганқурилиш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CF299B" w:rsidRDefault="00CF299B" w:rsidP="00CF299B">
      <w:pPr>
        <w:pStyle w:val="a4"/>
        <w:jc w:val="both"/>
        <w:rPr>
          <w:sz w:val="6"/>
          <w:szCs w:val="6"/>
          <w:lang w:val="uz-Cyrl-UZ"/>
        </w:rPr>
      </w:pPr>
    </w:p>
    <w:p w:rsidR="00CF299B" w:rsidRDefault="00CF299B" w:rsidP="00CF299B">
      <w:pPr>
        <w:pStyle w:val="a4"/>
        <w:numPr>
          <w:ilvl w:val="0"/>
          <w:numId w:val="1"/>
        </w:numPr>
        <w:jc w:val="both"/>
        <w:rPr>
          <w:b/>
          <w:sz w:val="20"/>
          <w:szCs w:val="20"/>
          <w:lang w:val="uz-Cyrl-UZ"/>
        </w:rPr>
      </w:pPr>
      <w:r>
        <w:rPr>
          <w:b/>
          <w:sz w:val="20"/>
          <w:szCs w:val="20"/>
          <w:lang w:val="uz-Cyrl-UZ"/>
        </w:rPr>
        <w:t>АЛОҲИДА ҚОИДАЛАР.</w:t>
      </w:r>
    </w:p>
    <w:p w:rsidR="00CF299B" w:rsidRDefault="00CF299B" w:rsidP="00CF299B">
      <w:pPr>
        <w:pStyle w:val="a4"/>
        <w:jc w:val="both"/>
        <w:rPr>
          <w:sz w:val="6"/>
          <w:szCs w:val="6"/>
          <w:lang w:val="uz-Cyrl-UZ"/>
        </w:rPr>
      </w:pPr>
    </w:p>
    <w:p w:rsidR="00CF299B" w:rsidRDefault="00CF299B" w:rsidP="00CF299B">
      <w:pPr>
        <w:pStyle w:val="a4"/>
        <w:numPr>
          <w:ilvl w:val="1"/>
          <w:numId w:val="1"/>
        </w:numPr>
        <w:jc w:val="both"/>
        <w:rPr>
          <w:sz w:val="20"/>
          <w:szCs w:val="20"/>
          <w:lang w:val="uz-Cyrl-UZ"/>
        </w:rPr>
      </w:pPr>
      <w:r>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CF299B" w:rsidRDefault="00CF299B" w:rsidP="00CF299B">
      <w:pPr>
        <w:pStyle w:val="a4"/>
        <w:numPr>
          <w:ilvl w:val="1"/>
          <w:numId w:val="1"/>
        </w:numPr>
        <w:jc w:val="both"/>
        <w:rPr>
          <w:sz w:val="20"/>
          <w:szCs w:val="20"/>
          <w:lang w:val="uz-Cyrl-UZ"/>
        </w:rPr>
      </w:pPr>
      <w:r>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CF299B" w:rsidRDefault="00CF299B" w:rsidP="00CF299B">
      <w:pPr>
        <w:pStyle w:val="a4"/>
        <w:numPr>
          <w:ilvl w:val="1"/>
          <w:numId w:val="1"/>
        </w:numPr>
        <w:jc w:val="both"/>
        <w:rPr>
          <w:sz w:val="20"/>
          <w:szCs w:val="20"/>
          <w:lang w:val="uz-Cyrl-UZ"/>
        </w:rPr>
      </w:pPr>
      <w:r>
        <w:rPr>
          <w:sz w:val="20"/>
          <w:szCs w:val="20"/>
          <w:lang w:val="uz-Cyrl-UZ"/>
        </w:rPr>
        <w:t>Мактаб биносини газлаштириш ва жорий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CF299B" w:rsidRDefault="00CF299B" w:rsidP="00CF299B">
      <w:pPr>
        <w:pStyle w:val="a4"/>
        <w:numPr>
          <w:ilvl w:val="1"/>
          <w:numId w:val="1"/>
        </w:numPr>
        <w:jc w:val="both"/>
        <w:rPr>
          <w:sz w:val="20"/>
          <w:szCs w:val="20"/>
          <w:lang w:val="uz-Cyrl-UZ"/>
        </w:rPr>
      </w:pPr>
      <w:r>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CF299B" w:rsidRDefault="00CF299B" w:rsidP="00CF299B">
      <w:pPr>
        <w:pStyle w:val="a4"/>
        <w:numPr>
          <w:ilvl w:val="1"/>
          <w:numId w:val="1"/>
        </w:numPr>
        <w:jc w:val="both"/>
        <w:rPr>
          <w:sz w:val="20"/>
          <w:szCs w:val="20"/>
          <w:lang w:val="uz-Cyrl-UZ"/>
        </w:rPr>
      </w:pPr>
      <w:r>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CF299B" w:rsidRDefault="00CF299B" w:rsidP="00CF299B">
      <w:pPr>
        <w:pStyle w:val="a4"/>
        <w:jc w:val="center"/>
        <w:rPr>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t>ШАРТНОМАГА ҚЎШИМЧА ВА ЎЗГАРТИРИШЛАР КИРИТИШ.</w:t>
      </w:r>
    </w:p>
    <w:p w:rsidR="00CF299B" w:rsidRDefault="00CF299B" w:rsidP="00CF299B">
      <w:pPr>
        <w:pStyle w:val="a4"/>
        <w:rPr>
          <w:sz w:val="6"/>
          <w:szCs w:val="6"/>
          <w:lang w:val="uz-Cyrl-UZ"/>
        </w:rPr>
      </w:pPr>
    </w:p>
    <w:p w:rsidR="00CF299B" w:rsidRDefault="00CF299B" w:rsidP="00CF299B">
      <w:pPr>
        <w:pStyle w:val="a4"/>
        <w:numPr>
          <w:ilvl w:val="1"/>
          <w:numId w:val="1"/>
        </w:numPr>
        <w:rPr>
          <w:sz w:val="20"/>
          <w:szCs w:val="20"/>
          <w:lang w:val="uz-Cyrl-UZ"/>
        </w:rPr>
      </w:pPr>
      <w:r>
        <w:rPr>
          <w:sz w:val="20"/>
          <w:szCs w:val="20"/>
          <w:lang w:val="uz-Cyrl-UZ"/>
        </w:rPr>
        <w:t>Шартномага қўшимча ва ўзгартиришлар киритиш иккала томоннинг розилигига асосан ёзма равишда билдиррилади.</w:t>
      </w:r>
    </w:p>
    <w:p w:rsidR="00CF299B" w:rsidRDefault="00CF299B" w:rsidP="00CF299B">
      <w:pPr>
        <w:pStyle w:val="a4"/>
        <w:rPr>
          <w:b/>
          <w:sz w:val="6"/>
          <w:szCs w:val="6"/>
          <w:lang w:val="uz-Cyrl-UZ"/>
        </w:rPr>
      </w:pPr>
    </w:p>
    <w:p w:rsidR="00CF299B" w:rsidRDefault="00CF299B" w:rsidP="00CF299B">
      <w:pPr>
        <w:pStyle w:val="a4"/>
        <w:numPr>
          <w:ilvl w:val="0"/>
          <w:numId w:val="1"/>
        </w:numPr>
        <w:jc w:val="center"/>
        <w:rPr>
          <w:b/>
          <w:sz w:val="20"/>
          <w:szCs w:val="20"/>
          <w:lang w:val="uz-Cyrl-UZ"/>
        </w:rPr>
      </w:pPr>
      <w:r>
        <w:rPr>
          <w:b/>
          <w:sz w:val="20"/>
          <w:szCs w:val="20"/>
          <w:lang w:val="uz-Cyrl-UZ"/>
        </w:rPr>
        <w:t>ШАРТНОМАНИНГ АМАЛ ҚИЛИШ МУДДАТИ.</w:t>
      </w:r>
    </w:p>
    <w:p w:rsidR="00CF299B" w:rsidRDefault="00CF299B" w:rsidP="00CF299B">
      <w:pPr>
        <w:pStyle w:val="a4"/>
        <w:rPr>
          <w:sz w:val="6"/>
          <w:szCs w:val="6"/>
          <w:lang w:val="uz-Cyrl-UZ"/>
        </w:rPr>
      </w:pPr>
    </w:p>
    <w:p w:rsidR="00CF299B" w:rsidRDefault="00CF299B" w:rsidP="00CF299B">
      <w:pPr>
        <w:pStyle w:val="a4"/>
        <w:numPr>
          <w:ilvl w:val="1"/>
          <w:numId w:val="1"/>
        </w:numPr>
        <w:rPr>
          <w:sz w:val="20"/>
          <w:szCs w:val="20"/>
          <w:lang w:val="uz-Cyrl-UZ"/>
        </w:rPr>
      </w:pPr>
      <w:r>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w:t>
      </w:r>
      <w:r w:rsidR="0058060C">
        <w:rPr>
          <w:sz w:val="20"/>
          <w:szCs w:val="20"/>
          <w:lang w:val="uz-Cyrl-UZ"/>
        </w:rPr>
        <w:t xml:space="preserve"> юридик кучга эга бўлади ва 202</w:t>
      </w:r>
      <w:r w:rsidR="0058060C" w:rsidRPr="0058060C">
        <w:rPr>
          <w:sz w:val="20"/>
          <w:szCs w:val="20"/>
          <w:lang w:val="uz-Cyrl-UZ"/>
        </w:rPr>
        <w:t>2</w:t>
      </w:r>
      <w:r>
        <w:rPr>
          <w:sz w:val="20"/>
          <w:szCs w:val="20"/>
          <w:lang w:val="uz-Cyrl-UZ"/>
        </w:rPr>
        <w:t xml:space="preserve"> йил 31 декабргача амал қилади.</w:t>
      </w:r>
    </w:p>
    <w:p w:rsidR="00CF299B" w:rsidRDefault="00CF299B" w:rsidP="00CF299B">
      <w:pPr>
        <w:pStyle w:val="a4"/>
        <w:rPr>
          <w:sz w:val="6"/>
          <w:szCs w:val="6"/>
          <w:lang w:val="uz-Cyrl-UZ"/>
        </w:rPr>
      </w:pPr>
    </w:p>
    <w:p w:rsidR="00CF299B" w:rsidRDefault="00CF299B" w:rsidP="00CF299B">
      <w:pPr>
        <w:pStyle w:val="a4"/>
        <w:numPr>
          <w:ilvl w:val="0"/>
          <w:numId w:val="1"/>
        </w:numPr>
        <w:jc w:val="center"/>
        <w:rPr>
          <w:b/>
          <w:sz w:val="28"/>
          <w:szCs w:val="28"/>
          <w:lang w:val="uz-Cyrl-UZ"/>
        </w:rPr>
      </w:pPr>
      <w:r>
        <w:rPr>
          <w:b/>
          <w:sz w:val="20"/>
          <w:szCs w:val="20"/>
          <w:lang w:val="uz-Cyrl-UZ"/>
        </w:rPr>
        <w:t>ТОМОНЛАРНИНГ РЕКВИЗИТЛАРИ:</w:t>
      </w:r>
    </w:p>
    <w:p w:rsidR="00CF299B" w:rsidRDefault="00CF299B" w:rsidP="00CF299B">
      <w:pPr>
        <w:pStyle w:val="a4"/>
        <w:rPr>
          <w:sz w:val="6"/>
          <w:szCs w:val="6"/>
          <w:lang w:val="uz-Cyrl-UZ"/>
        </w:rPr>
      </w:pPr>
    </w:p>
    <w:tbl>
      <w:tblPr>
        <w:tblStyle w:val="a5"/>
        <w:tblW w:w="0" w:type="auto"/>
        <w:tblInd w:w="-459" w:type="dxa"/>
        <w:tblLook w:val="04A0"/>
      </w:tblPr>
      <w:tblGrid>
        <w:gridCol w:w="5642"/>
        <w:gridCol w:w="4388"/>
      </w:tblGrid>
      <w:tr w:rsidR="00CF299B" w:rsidTr="007C61A7">
        <w:tc>
          <w:tcPr>
            <w:tcW w:w="6023"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186"/>
              <w:jc w:val="center"/>
              <w:rPr>
                <w:b/>
                <w:sz w:val="24"/>
                <w:szCs w:val="24"/>
                <w:lang w:val="uz-Cyrl-UZ"/>
              </w:rPr>
            </w:pPr>
          </w:p>
          <w:p w:rsidR="00CF299B" w:rsidRDefault="00CF299B" w:rsidP="007C61A7">
            <w:pPr>
              <w:pStyle w:val="a4"/>
              <w:ind w:left="0"/>
              <w:jc w:val="center"/>
              <w:rPr>
                <w:b/>
                <w:sz w:val="24"/>
                <w:szCs w:val="24"/>
                <w:lang w:val="uz-Cyrl-UZ"/>
              </w:rPr>
            </w:pPr>
            <w:r>
              <w:rPr>
                <w:b/>
                <w:sz w:val="24"/>
                <w:szCs w:val="24"/>
                <w:lang w:val="uz-Cyrl-UZ"/>
              </w:rPr>
              <w:t>“БУЮРТМАЧИ”</w:t>
            </w:r>
          </w:p>
          <w:p w:rsidR="00CF299B" w:rsidRDefault="00CF299B" w:rsidP="007C61A7">
            <w:pPr>
              <w:pStyle w:val="a4"/>
              <w:ind w:left="0"/>
              <w:jc w:val="center"/>
              <w:rPr>
                <w:b/>
                <w:sz w:val="24"/>
                <w:szCs w:val="24"/>
                <w:lang w:val="uz-Cyrl-UZ"/>
              </w:rPr>
            </w:pP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jc w:val="center"/>
              <w:rPr>
                <w:b/>
                <w:sz w:val="24"/>
                <w:szCs w:val="24"/>
                <w:lang w:val="uz-Cyrl-UZ"/>
              </w:rPr>
            </w:pPr>
          </w:p>
          <w:p w:rsidR="00CF299B" w:rsidRDefault="00CF299B" w:rsidP="007C61A7">
            <w:pPr>
              <w:pStyle w:val="a4"/>
              <w:ind w:left="0"/>
              <w:jc w:val="center"/>
              <w:rPr>
                <w:b/>
                <w:sz w:val="24"/>
                <w:szCs w:val="24"/>
                <w:lang w:val="uz-Cyrl-UZ"/>
              </w:rPr>
            </w:pPr>
            <w:r>
              <w:rPr>
                <w:b/>
                <w:sz w:val="24"/>
                <w:szCs w:val="24"/>
                <w:lang w:val="uz-Cyrl-UZ"/>
              </w:rPr>
              <w:t>“ПУДРАТЧИ”</w:t>
            </w: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Шаҳрисабз шаҳар Халқ таълими бўлими</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Манзил: Шаҳрисабз шаҳри Зингирон кўчаси 13  уй</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ОКОНХ</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Банк:Тошкент Марказий банки</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Pr="00CF299B" w:rsidRDefault="00CF299B" w:rsidP="007C61A7">
            <w:pPr>
              <w:pStyle w:val="a4"/>
              <w:ind w:left="0"/>
              <w:rPr>
                <w:b/>
                <w:sz w:val="24"/>
                <w:szCs w:val="24"/>
                <w:lang w:val="en-US"/>
              </w:rPr>
            </w:pPr>
            <w:r>
              <w:rPr>
                <w:b/>
                <w:sz w:val="24"/>
                <w:szCs w:val="24"/>
                <w:lang w:val="uz-Cyrl-UZ"/>
              </w:rPr>
              <w:t>х/р</w:t>
            </w:r>
            <w:bookmarkStart w:id="0" w:name="_GoBack"/>
            <w:bookmarkEnd w:id="0"/>
            <w:r>
              <w:rPr>
                <w:b/>
                <w:sz w:val="24"/>
                <w:szCs w:val="24"/>
                <w:lang w:val="en-US"/>
              </w:rPr>
              <w:t>40172286010405709210007500</w:t>
            </w:r>
            <w:r w:rsidR="00124B3F">
              <w:rPr>
                <w:b/>
                <w:sz w:val="24"/>
                <w:szCs w:val="24"/>
                <w:lang w:val="en-US"/>
              </w:rPr>
              <w:t>6</w:t>
            </w:r>
          </w:p>
        </w:tc>
        <w:tc>
          <w:tcPr>
            <w:tcW w:w="4988" w:type="dxa"/>
            <w:tcBorders>
              <w:top w:val="single" w:sz="4" w:space="0" w:color="auto"/>
              <w:left w:val="single" w:sz="4" w:space="0" w:color="auto"/>
              <w:bottom w:val="single" w:sz="4" w:space="0" w:color="auto"/>
              <w:right w:val="single" w:sz="4" w:space="0" w:color="auto"/>
            </w:tcBorders>
          </w:tcPr>
          <w:p w:rsidR="00CF299B" w:rsidRPr="00CF299B" w:rsidRDefault="00CF299B" w:rsidP="007C61A7">
            <w:pPr>
              <w:pStyle w:val="a4"/>
              <w:ind w:left="0"/>
              <w:rPr>
                <w:b/>
                <w:sz w:val="24"/>
                <w:szCs w:val="24"/>
                <w:lang w:val="en-US"/>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ИНН: 207265672</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МФО 00014</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Раҳбари : ШШХТБ мудири:                              О. Джалилов</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М.Ў.</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c>
          <w:tcPr>
            <w:tcW w:w="6023" w:type="dxa"/>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rPr>
                <w:b/>
                <w:sz w:val="24"/>
                <w:szCs w:val="24"/>
                <w:lang w:val="uz-Cyrl-UZ"/>
              </w:rPr>
            </w:pPr>
            <w:r>
              <w:rPr>
                <w:b/>
                <w:sz w:val="24"/>
                <w:szCs w:val="24"/>
                <w:lang w:val="uz-Cyrl-UZ"/>
              </w:rPr>
              <w:t>тел: + 99891 563 05 10</w:t>
            </w:r>
          </w:p>
        </w:tc>
        <w:tc>
          <w:tcPr>
            <w:tcW w:w="4988" w:type="dxa"/>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r w:rsidR="00CF299B" w:rsidTr="007C61A7">
        <w:trPr>
          <w:trHeight w:val="537"/>
        </w:trPr>
        <w:tc>
          <w:tcPr>
            <w:tcW w:w="11011" w:type="dxa"/>
            <w:gridSpan w:val="2"/>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jc w:val="center"/>
              <w:rPr>
                <w:b/>
                <w:sz w:val="6"/>
                <w:szCs w:val="6"/>
                <w:lang w:val="uz-Cyrl-UZ"/>
              </w:rPr>
            </w:pPr>
          </w:p>
          <w:p w:rsidR="00CF299B" w:rsidRDefault="00CF299B" w:rsidP="007C61A7">
            <w:pPr>
              <w:pStyle w:val="a4"/>
              <w:ind w:left="0"/>
              <w:jc w:val="center"/>
              <w:rPr>
                <w:b/>
                <w:sz w:val="24"/>
                <w:szCs w:val="24"/>
                <w:lang w:val="uz-Cyrl-UZ"/>
              </w:rPr>
            </w:pPr>
            <w:r>
              <w:rPr>
                <w:b/>
                <w:sz w:val="24"/>
                <w:szCs w:val="24"/>
                <w:lang w:val="uz-Cyrl-UZ"/>
              </w:rPr>
              <w:t xml:space="preserve">Ўзбекистон Республикаси Молия вазирлиги, Ғазначилик бўлинмасининг номи  </w:t>
            </w:r>
          </w:p>
        </w:tc>
      </w:tr>
      <w:tr w:rsidR="00CF299B" w:rsidTr="007C61A7">
        <w:tc>
          <w:tcPr>
            <w:tcW w:w="11011" w:type="dxa"/>
            <w:gridSpan w:val="2"/>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jc w:val="center"/>
              <w:rPr>
                <w:b/>
                <w:sz w:val="24"/>
                <w:szCs w:val="24"/>
                <w:lang w:val="uz-Cyrl-UZ"/>
              </w:rPr>
            </w:pPr>
            <w:r>
              <w:rPr>
                <w:b/>
                <w:sz w:val="24"/>
                <w:szCs w:val="24"/>
                <w:lang w:val="uz-Cyrl-UZ"/>
              </w:rPr>
              <w:t>ғазна х/р 23402000360100001010</w:t>
            </w:r>
          </w:p>
        </w:tc>
      </w:tr>
      <w:tr w:rsidR="00CF299B" w:rsidTr="007C61A7">
        <w:tc>
          <w:tcPr>
            <w:tcW w:w="11011" w:type="dxa"/>
            <w:gridSpan w:val="2"/>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jc w:val="center"/>
              <w:rPr>
                <w:b/>
                <w:sz w:val="24"/>
                <w:szCs w:val="24"/>
                <w:lang w:val="uz-Cyrl-UZ"/>
              </w:rPr>
            </w:pPr>
            <w:r>
              <w:rPr>
                <w:b/>
                <w:sz w:val="24"/>
                <w:szCs w:val="24"/>
                <w:lang w:val="uz-Cyrl-UZ"/>
              </w:rPr>
              <w:t>ИНН: 201122919</w:t>
            </w:r>
          </w:p>
        </w:tc>
      </w:tr>
      <w:tr w:rsidR="00CF299B" w:rsidTr="007C61A7">
        <w:tc>
          <w:tcPr>
            <w:tcW w:w="11011" w:type="dxa"/>
            <w:gridSpan w:val="2"/>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jc w:val="center"/>
              <w:rPr>
                <w:b/>
                <w:sz w:val="24"/>
                <w:szCs w:val="24"/>
                <w:lang w:val="uz-Cyrl-UZ"/>
              </w:rPr>
            </w:pPr>
            <w:r>
              <w:rPr>
                <w:b/>
                <w:sz w:val="24"/>
                <w:szCs w:val="24"/>
                <w:lang w:val="uz-Cyrl-UZ"/>
              </w:rPr>
              <w:t>МФО : 00014</w:t>
            </w:r>
          </w:p>
        </w:tc>
      </w:tr>
      <w:tr w:rsidR="00CF299B" w:rsidTr="007C61A7">
        <w:tc>
          <w:tcPr>
            <w:tcW w:w="11011" w:type="dxa"/>
            <w:gridSpan w:val="2"/>
            <w:tcBorders>
              <w:top w:val="single" w:sz="4" w:space="0" w:color="auto"/>
              <w:left w:val="single" w:sz="4" w:space="0" w:color="auto"/>
              <w:bottom w:val="single" w:sz="4" w:space="0" w:color="auto"/>
              <w:right w:val="single" w:sz="4" w:space="0" w:color="auto"/>
            </w:tcBorders>
            <w:hideMark/>
          </w:tcPr>
          <w:p w:rsidR="00CF299B" w:rsidRDefault="00CF299B" w:rsidP="007C61A7">
            <w:pPr>
              <w:pStyle w:val="a4"/>
              <w:ind w:left="0"/>
              <w:jc w:val="both"/>
              <w:rPr>
                <w:b/>
                <w:sz w:val="24"/>
                <w:szCs w:val="24"/>
                <w:lang w:val="uz-Cyrl-UZ"/>
              </w:rPr>
            </w:pPr>
            <w:r>
              <w:rPr>
                <w:b/>
                <w:sz w:val="24"/>
                <w:szCs w:val="24"/>
                <w:lang w:val="uz-Cyrl-UZ"/>
              </w:rPr>
              <w:t>Шаҳрисабз шаҳар Халқ таълими бўлими мудири:                                                          О. Джалилов</w:t>
            </w:r>
          </w:p>
        </w:tc>
      </w:tr>
      <w:tr w:rsidR="00CF299B" w:rsidTr="007C61A7">
        <w:tc>
          <w:tcPr>
            <w:tcW w:w="11011" w:type="dxa"/>
            <w:gridSpan w:val="2"/>
            <w:tcBorders>
              <w:top w:val="single" w:sz="4" w:space="0" w:color="auto"/>
              <w:left w:val="single" w:sz="4" w:space="0" w:color="auto"/>
              <w:bottom w:val="single" w:sz="4" w:space="0" w:color="auto"/>
              <w:right w:val="single" w:sz="4" w:space="0" w:color="auto"/>
            </w:tcBorders>
          </w:tcPr>
          <w:p w:rsidR="00CF299B" w:rsidRDefault="00CF299B" w:rsidP="007C61A7">
            <w:pPr>
              <w:pStyle w:val="a4"/>
              <w:ind w:left="0"/>
              <w:rPr>
                <w:b/>
                <w:sz w:val="24"/>
                <w:szCs w:val="24"/>
                <w:lang w:val="uz-Cyrl-UZ"/>
              </w:rPr>
            </w:pPr>
          </w:p>
        </w:tc>
      </w:tr>
    </w:tbl>
    <w:p w:rsidR="00CF299B" w:rsidRDefault="00CF299B" w:rsidP="00CF299B">
      <w:pPr>
        <w:jc w:val="both"/>
      </w:pPr>
    </w:p>
    <w:p w:rsidR="0069006F" w:rsidRPr="00CF299B" w:rsidRDefault="0069006F" w:rsidP="00CF299B"/>
    <w:sectPr w:rsidR="0069006F" w:rsidRPr="00CF299B" w:rsidSect="00751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A78B2"/>
    <w:multiLevelType w:val="multilevel"/>
    <w:tmpl w:val="CAFCC698"/>
    <w:lvl w:ilvl="0">
      <w:start w:val="1"/>
      <w:numFmt w:val="decimal"/>
      <w:lvlText w:val="%1."/>
      <w:lvlJc w:val="left"/>
      <w:pPr>
        <w:ind w:left="720" w:hanging="360"/>
      </w:pPr>
      <w:rPr>
        <w:sz w:val="20"/>
        <w:szCs w:val="2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18EB"/>
    <w:rsid w:val="00124B3F"/>
    <w:rsid w:val="002F6ED0"/>
    <w:rsid w:val="0058060C"/>
    <w:rsid w:val="0069006F"/>
    <w:rsid w:val="00751154"/>
    <w:rsid w:val="00840E28"/>
    <w:rsid w:val="00921B45"/>
    <w:rsid w:val="00996274"/>
    <w:rsid w:val="00B118EB"/>
    <w:rsid w:val="00B174DC"/>
    <w:rsid w:val="00B40D29"/>
    <w:rsid w:val="00CF299B"/>
    <w:rsid w:val="00D74AD8"/>
    <w:rsid w:val="00DC7DC6"/>
    <w:rsid w:val="00E66ACF"/>
    <w:rsid w:val="00FF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9B"/>
  </w:style>
  <w:style w:type="paragraph" w:styleId="5">
    <w:name w:val="heading 5"/>
    <w:basedOn w:val="a"/>
    <w:link w:val="50"/>
    <w:uiPriority w:val="9"/>
    <w:qFormat/>
    <w:rsid w:val="00B118E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118EB"/>
    <w:rPr>
      <w:rFonts w:ascii="Times New Roman" w:eastAsia="Times New Roman" w:hAnsi="Times New Roman" w:cs="Times New Roman"/>
      <w:b/>
      <w:bCs/>
      <w:sz w:val="20"/>
      <w:szCs w:val="20"/>
      <w:lang w:eastAsia="ru-RU"/>
    </w:rPr>
  </w:style>
  <w:style w:type="character" w:styleId="a3">
    <w:name w:val="Strong"/>
    <w:basedOn w:val="a0"/>
    <w:uiPriority w:val="22"/>
    <w:qFormat/>
    <w:rsid w:val="0069006F"/>
    <w:rPr>
      <w:b/>
      <w:bCs/>
    </w:rPr>
  </w:style>
  <w:style w:type="paragraph" w:styleId="a4">
    <w:name w:val="List Paragraph"/>
    <w:basedOn w:val="a"/>
    <w:uiPriority w:val="34"/>
    <w:qFormat/>
    <w:rsid w:val="00CF299B"/>
    <w:pPr>
      <w:ind w:left="720"/>
      <w:contextualSpacing/>
    </w:pPr>
  </w:style>
  <w:style w:type="table" w:styleId="a5">
    <w:name w:val="Table Grid"/>
    <w:basedOn w:val="a1"/>
    <w:uiPriority w:val="59"/>
    <w:rsid w:val="00CF2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875951">
      <w:bodyDiv w:val="1"/>
      <w:marLeft w:val="0"/>
      <w:marRight w:val="0"/>
      <w:marTop w:val="0"/>
      <w:marBottom w:val="0"/>
      <w:divBdr>
        <w:top w:val="none" w:sz="0" w:space="0" w:color="auto"/>
        <w:left w:val="none" w:sz="0" w:space="0" w:color="auto"/>
        <w:bottom w:val="none" w:sz="0" w:space="0" w:color="auto"/>
        <w:right w:val="none" w:sz="0" w:space="0" w:color="auto"/>
      </w:divBdr>
    </w:div>
    <w:div w:id="644310120">
      <w:bodyDiv w:val="1"/>
      <w:marLeft w:val="0"/>
      <w:marRight w:val="0"/>
      <w:marTop w:val="0"/>
      <w:marBottom w:val="0"/>
      <w:divBdr>
        <w:top w:val="none" w:sz="0" w:space="0" w:color="auto"/>
        <w:left w:val="none" w:sz="0" w:space="0" w:color="auto"/>
        <w:bottom w:val="none" w:sz="0" w:space="0" w:color="auto"/>
        <w:right w:val="none" w:sz="0" w:space="0" w:color="auto"/>
      </w:divBdr>
    </w:div>
    <w:div w:id="871843734">
      <w:bodyDiv w:val="1"/>
      <w:marLeft w:val="0"/>
      <w:marRight w:val="0"/>
      <w:marTop w:val="0"/>
      <w:marBottom w:val="0"/>
      <w:divBdr>
        <w:top w:val="none" w:sz="0" w:space="0" w:color="auto"/>
        <w:left w:val="none" w:sz="0" w:space="0" w:color="auto"/>
        <w:bottom w:val="none" w:sz="0" w:space="0" w:color="auto"/>
        <w:right w:val="none" w:sz="0" w:space="0" w:color="auto"/>
      </w:divBdr>
    </w:div>
    <w:div w:id="967125344">
      <w:bodyDiv w:val="1"/>
      <w:marLeft w:val="0"/>
      <w:marRight w:val="0"/>
      <w:marTop w:val="0"/>
      <w:marBottom w:val="0"/>
      <w:divBdr>
        <w:top w:val="none" w:sz="0" w:space="0" w:color="auto"/>
        <w:left w:val="none" w:sz="0" w:space="0" w:color="auto"/>
        <w:bottom w:val="none" w:sz="0" w:space="0" w:color="auto"/>
        <w:right w:val="none" w:sz="0" w:space="0" w:color="auto"/>
      </w:divBdr>
    </w:div>
    <w:div w:id="1064179237">
      <w:bodyDiv w:val="1"/>
      <w:marLeft w:val="0"/>
      <w:marRight w:val="0"/>
      <w:marTop w:val="0"/>
      <w:marBottom w:val="0"/>
      <w:divBdr>
        <w:top w:val="none" w:sz="0" w:space="0" w:color="auto"/>
        <w:left w:val="none" w:sz="0" w:space="0" w:color="auto"/>
        <w:bottom w:val="none" w:sz="0" w:space="0" w:color="auto"/>
        <w:right w:val="none" w:sz="0" w:space="0" w:color="auto"/>
      </w:divBdr>
    </w:div>
    <w:div w:id="1077559528">
      <w:bodyDiv w:val="1"/>
      <w:marLeft w:val="0"/>
      <w:marRight w:val="0"/>
      <w:marTop w:val="0"/>
      <w:marBottom w:val="0"/>
      <w:divBdr>
        <w:top w:val="none" w:sz="0" w:space="0" w:color="auto"/>
        <w:left w:val="none" w:sz="0" w:space="0" w:color="auto"/>
        <w:bottom w:val="none" w:sz="0" w:space="0" w:color="auto"/>
        <w:right w:val="none" w:sz="0" w:space="0" w:color="auto"/>
      </w:divBdr>
    </w:div>
    <w:div w:id="1155418541">
      <w:bodyDiv w:val="1"/>
      <w:marLeft w:val="0"/>
      <w:marRight w:val="0"/>
      <w:marTop w:val="0"/>
      <w:marBottom w:val="0"/>
      <w:divBdr>
        <w:top w:val="none" w:sz="0" w:space="0" w:color="auto"/>
        <w:left w:val="none" w:sz="0" w:space="0" w:color="auto"/>
        <w:bottom w:val="none" w:sz="0" w:space="0" w:color="auto"/>
        <w:right w:val="none" w:sz="0" w:space="0" w:color="auto"/>
      </w:divBdr>
    </w:div>
    <w:div w:id="1306665440">
      <w:bodyDiv w:val="1"/>
      <w:marLeft w:val="0"/>
      <w:marRight w:val="0"/>
      <w:marTop w:val="0"/>
      <w:marBottom w:val="0"/>
      <w:divBdr>
        <w:top w:val="none" w:sz="0" w:space="0" w:color="auto"/>
        <w:left w:val="none" w:sz="0" w:space="0" w:color="auto"/>
        <w:bottom w:val="none" w:sz="0" w:space="0" w:color="auto"/>
        <w:right w:val="none" w:sz="0" w:space="0" w:color="auto"/>
      </w:divBdr>
    </w:div>
    <w:div w:id="1387412329">
      <w:bodyDiv w:val="1"/>
      <w:marLeft w:val="0"/>
      <w:marRight w:val="0"/>
      <w:marTop w:val="0"/>
      <w:marBottom w:val="0"/>
      <w:divBdr>
        <w:top w:val="none" w:sz="0" w:space="0" w:color="auto"/>
        <w:left w:val="none" w:sz="0" w:space="0" w:color="auto"/>
        <w:bottom w:val="none" w:sz="0" w:space="0" w:color="auto"/>
        <w:right w:val="none" w:sz="0" w:space="0" w:color="auto"/>
      </w:divBdr>
    </w:div>
    <w:div w:id="18208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Lemara</cp:lastModifiedBy>
  <cp:revision>7</cp:revision>
  <cp:lastPrinted>2022-05-11T05:40:00Z</cp:lastPrinted>
  <dcterms:created xsi:type="dcterms:W3CDTF">2022-05-11T05:09:00Z</dcterms:created>
  <dcterms:modified xsi:type="dcterms:W3CDTF">2022-05-18T12:31:00Z</dcterms:modified>
</cp:coreProperties>
</file>