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8" w:type="dxa"/>
        <w:tblInd w:w="93" w:type="dxa"/>
        <w:tblLayout w:type="fixed"/>
        <w:tblLook w:val="04A0"/>
      </w:tblPr>
      <w:tblGrid>
        <w:gridCol w:w="3063"/>
        <w:gridCol w:w="71"/>
        <w:gridCol w:w="567"/>
        <w:gridCol w:w="142"/>
        <w:gridCol w:w="650"/>
        <w:gridCol w:w="774"/>
        <w:gridCol w:w="844"/>
        <w:gridCol w:w="708"/>
        <w:gridCol w:w="944"/>
        <w:gridCol w:w="567"/>
        <w:gridCol w:w="1608"/>
      </w:tblGrid>
      <w:tr w:rsidR="00E43515" w:rsidRPr="005A5B23" w:rsidTr="0035286D">
        <w:trPr>
          <w:trHeight w:val="74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Тадқиқот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3515" w:rsidRPr="005A5B23" w:rsidTr="0035286D">
        <w:trPr>
          <w:trHeight w:val="315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</w:t>
            </w: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 ШАРТНОМА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3515" w:rsidRPr="005A5B23" w:rsidTr="0035286D">
        <w:trPr>
          <w:trHeight w:val="225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5A5B23" w:rsidTr="0035286D">
        <w:trPr>
          <w:trHeight w:val="225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5A5B23" w:rsidTr="0035286D">
        <w:trPr>
          <w:trHeight w:val="315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"___" ____________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шаҳри</w:t>
            </w:r>
          </w:p>
        </w:tc>
      </w:tr>
      <w:tr w:rsidR="00E43515" w:rsidRPr="005A5B23" w:rsidTr="0035286D">
        <w:trPr>
          <w:trHeight w:val="315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BB5847" w:rsidTr="0035286D">
        <w:trPr>
          <w:trHeight w:val="517"/>
        </w:trPr>
        <w:tc>
          <w:tcPr>
            <w:tcW w:w="993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515" w:rsidRPr="00BB5847" w:rsidRDefault="00E43515" w:rsidP="0035286D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  <w:t>Катта Андижон магистрал канали бошқармаси</w:t>
            </w:r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кейинги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ўринларда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номланувчи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Низом</w:t>
            </w:r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асосида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 xml:space="preserve">увчи рахбар </w:t>
            </w:r>
            <w:r w:rsidRPr="000434D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С.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А</w:t>
            </w:r>
            <w:r w:rsidRPr="000434D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Султонов</w:t>
            </w:r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томондан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________________________________________________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рахбари</w:t>
            </w:r>
            <w:proofErr w:type="spellEnd"/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_______________________</w:t>
            </w:r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кейинги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ўринларда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номланувчи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иккинчи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томондан</w:t>
            </w:r>
            <w:proofErr w:type="spellEnd"/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низоми</w:t>
            </w:r>
            <w:proofErr w:type="spellEnd"/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асосида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юритиб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ушбу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туздилар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BB5847" w:rsidTr="0035286D">
        <w:trPr>
          <w:trHeight w:val="330"/>
        </w:trPr>
        <w:tc>
          <w:tcPr>
            <w:tcW w:w="993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515" w:rsidRPr="00BB5847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43515" w:rsidRPr="00BB5847" w:rsidTr="0035286D">
        <w:trPr>
          <w:trHeight w:val="315"/>
        </w:trPr>
        <w:tc>
          <w:tcPr>
            <w:tcW w:w="993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515" w:rsidRPr="00BB5847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43515" w:rsidRPr="00BB5847" w:rsidTr="0035286D">
        <w:trPr>
          <w:trHeight w:val="315"/>
        </w:trPr>
        <w:tc>
          <w:tcPr>
            <w:tcW w:w="993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515" w:rsidRPr="00BB5847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43515" w:rsidRPr="00BB5847" w:rsidTr="0035286D">
        <w:trPr>
          <w:trHeight w:val="276"/>
        </w:trPr>
        <w:tc>
          <w:tcPr>
            <w:tcW w:w="993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515" w:rsidRPr="00BB5847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43515" w:rsidRPr="005A5B23" w:rsidTr="0035286D">
        <w:trPr>
          <w:trHeight w:val="315"/>
        </w:trPr>
        <w:tc>
          <w:tcPr>
            <w:tcW w:w="993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ШАРТНОМА ПРЕДМЕТИ</w:t>
            </w:r>
          </w:p>
        </w:tc>
      </w:tr>
      <w:tr w:rsidR="00E43515" w:rsidRPr="000434DD" w:rsidTr="0035286D">
        <w:trPr>
          <w:trHeight w:val="236"/>
        </w:trPr>
        <w:tc>
          <w:tcPr>
            <w:tcW w:w="3134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43515" w:rsidRPr="000434DD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4" w:type="dxa"/>
            <w:gridSpan w:val="9"/>
            <w:shd w:val="clear" w:color="auto" w:fill="auto"/>
            <w:noWrap/>
            <w:vAlign w:val="bottom"/>
            <w:hideMark/>
          </w:tcPr>
          <w:p w:rsidR="00E43515" w:rsidRPr="000434DD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  <w:t>Катта Андижон магистрал канали бошқармаси</w:t>
            </w:r>
          </w:p>
        </w:tc>
      </w:tr>
      <w:tr w:rsidR="00E43515" w:rsidRPr="00BB5847" w:rsidTr="0035286D">
        <w:trPr>
          <w:trHeight w:val="915"/>
        </w:trPr>
        <w:tc>
          <w:tcPr>
            <w:tcW w:w="9938" w:type="dxa"/>
            <w:gridSpan w:val="11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515" w:rsidRPr="00BB5847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</w:pPr>
            <w:r w:rsidRPr="00BB5847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BB5847">
              <w:rPr>
                <w:rFonts w:ascii="Times New Roman" w:hAnsi="Times New Roman"/>
                <w:b/>
                <w:i/>
                <w:lang w:val="uz-Cyrl-UZ"/>
              </w:rPr>
              <w:t>ҒЎЗАНИ СУҒОРИШДА СУВНИ ТЕЖАЙДИГАН ТЕХНОЛОГИЯЛАРНИ ЖОРИЙ ЭТИШГА ЙЎНАЛТИРИЛГАН ИНВЕСТИЦИЯ CАМАРАДОРЛИГИНИ БАҲОЛАШНИНГ ИҚТИСОДИЙ МЕХАНИЗМЛАРИНИ ТАКОМИЛЛАШТИРИШ (ФАРҒОНА ВОДИЙСИ МИСОЛИДА)</w:t>
            </w:r>
            <w:r w:rsidRPr="00BB5847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”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BB5847">
              <w:rPr>
                <w:rFonts w:ascii="Times New Roman" w:hAnsi="Times New Roman"/>
                <w:b/>
                <w:i/>
                <w:lang w:val="uz-Cyrl-UZ"/>
              </w:rPr>
              <w:t>илмий тадқиқот иши</w:t>
            </w:r>
          </w:p>
        </w:tc>
      </w:tr>
      <w:tr w:rsidR="00E43515" w:rsidRPr="00E43515" w:rsidTr="0035286D">
        <w:trPr>
          <w:trHeight w:val="60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15" w:rsidRPr="00E43515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 w:rsidRPr="00E43515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мавзусида тадқиқот олиб бориш бўйича топшириқ беради, "Бажарувчи" топшириқни бажаришни  ўз зиммасига олади.</w:t>
            </w:r>
          </w:p>
        </w:tc>
      </w:tr>
      <w:tr w:rsidR="00E43515" w:rsidRPr="005A5B23" w:rsidTr="0035286D">
        <w:trPr>
          <w:trHeight w:val="345"/>
        </w:trPr>
        <w:tc>
          <w:tcPr>
            <w:tcW w:w="7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тадқиқот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натижаларини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топшириш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вақти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31.12.20</w:t>
            </w:r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2</w:t>
            </w:r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йил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43515" w:rsidRPr="005A5B23" w:rsidTr="0035286D">
        <w:trPr>
          <w:trHeight w:val="64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бос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қичларининг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таркиби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бажарилиш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вақти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бажаришнинг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тақвимий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режасига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асосан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белгиланади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61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 Топшириқни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илмий-техник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ҳисоботни қабул қилиш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баҳолаш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техник-и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қтисодий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асосланмаси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бандларига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мувофиқ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амалга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оширилади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383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Илмий-техник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маҳсулотдан суғорма дехқончилик соҳасида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фойдаланилади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31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ШАРТНОМА ИШИНИНГ БАҲОСИ ВА ҲИСОБ-КИТОБ ТАРТИБИ</w:t>
            </w:r>
          </w:p>
        </w:tc>
      </w:tr>
      <w:tr w:rsidR="00E43515" w:rsidRPr="005A5B23" w:rsidTr="0035286D">
        <w:trPr>
          <w:trHeight w:val="73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илмий-техник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топшириқ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1-иловасидаги 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қиймати тўғрисидаги</w:t>
            </w:r>
            <w:r w:rsidRPr="00793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келишувга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мувофиқ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ҳисобига </w:t>
            </w:r>
          </w:p>
        </w:tc>
      </w:tr>
      <w:tr w:rsidR="00E43515" w:rsidRPr="005A5B23" w:rsidTr="0035286D">
        <w:trPr>
          <w:trHeight w:val="360"/>
        </w:trPr>
        <w:tc>
          <w:tcPr>
            <w:tcW w:w="3843" w:type="dxa"/>
            <w:gridSpan w:val="4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_______________________</w:t>
            </w:r>
          </w:p>
        </w:tc>
        <w:tc>
          <w:tcPr>
            <w:tcW w:w="3920" w:type="dxa"/>
            <w:gridSpan w:val="5"/>
            <w:shd w:val="clear" w:color="auto" w:fill="auto"/>
            <w:vAlign w:val="bottom"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_____________________________</w:t>
            </w:r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сў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ўтказади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29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келишувига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мувофиқ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босқичма-босқич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амалга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оширилади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90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имзолангандан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кейин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мажбуриятларини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бажаришга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киришиши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қийматининг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30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ига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маблағни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сифатида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Бажарувчи</w:t>
            </w:r>
            <w:proofErr w:type="spellEnd"/>
            <w:proofErr w:type="gram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ҳисоб рақамига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ўтказади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43515" w:rsidRPr="005A5B23" w:rsidTr="0035286D">
        <w:trPr>
          <w:trHeight w:val="66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2.4.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суммасининг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қолган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70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и ҳисоб-фактура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далолатномаларига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асосан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қонунда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тартибда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ўзаро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ҳисоб-китоб қилинади.</w:t>
            </w:r>
          </w:p>
        </w:tc>
      </w:tr>
      <w:tr w:rsidR="00E43515" w:rsidRPr="005A5B23" w:rsidTr="0035286D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БАЖАРИЛГАН ИШЛАРНИ ТОПШИРИШ ВА ҚАБУЛ ҚИЛИШ ТАРТИБИ</w:t>
            </w:r>
          </w:p>
        </w:tc>
      </w:tr>
      <w:tr w:rsidR="00E43515" w:rsidRPr="005A5B23" w:rsidTr="0035286D">
        <w:trPr>
          <w:trHeight w:val="643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бажарилишининг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алоҳида босқичларида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натижалари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тақвимий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режага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мувофиқ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тарзда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қисқача ахборо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кўринишида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тақдим қилинади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топшириш-қабул қилиш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далолатномаси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ҳисоб-фактураси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ҳужжатлаштирилади.</w:t>
            </w:r>
          </w:p>
        </w:tc>
      </w:tr>
      <w:tr w:rsidR="00E43515" w:rsidRPr="005A5B23" w:rsidTr="0035286D">
        <w:trPr>
          <w:trHeight w:val="38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3.2 Тадқиқот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33CA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тўлиқ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бажарилгандан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кейин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Буюртмачи</w:t>
            </w:r>
            <w:proofErr w:type="spellEnd"/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"г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натижалари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якуний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тўлиқ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хисобот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тақдим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53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3.3 Тадқиқот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муддатидан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олдин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такдирда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уни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муддатидан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олдин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қабул қилиш  ҳуқ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қига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тартибда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тўлайди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43515" w:rsidRPr="005A5B23" w:rsidTr="0035286D">
        <w:trPr>
          <w:trHeight w:val="1506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3.4 Тадқиқот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бажарилиш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жараёнида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натижаларнинг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салбий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бўлиши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муқаррарлиги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давом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эттиришнинг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мақсадга мувофиқ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эмаслиги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аниқланса,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тўхтатиши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ҳақда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тўхтатилган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кундан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бошлаб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кун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муддат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Буюртмачи</w:t>
            </w:r>
            <w:proofErr w:type="spellEnd"/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"г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маълум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қилиши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ҳолатда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томонлар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кун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давом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эттиришнинг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мақсадга мувофиқлиги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масаласини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кўриб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чиқишлари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лозим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43515" w:rsidRPr="005A5B23" w:rsidTr="0035286D">
        <w:trPr>
          <w:trHeight w:val="31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</w:pPr>
          </w:p>
          <w:p w:rsidR="00E43515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</w:pPr>
          </w:p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ТОМОНЛАРНИНГ ЖАВОБГАРЛИГИ</w:t>
            </w:r>
          </w:p>
        </w:tc>
      </w:tr>
      <w:tr w:rsidR="00E43515" w:rsidRPr="005A5B23" w:rsidTr="0035286D">
        <w:trPr>
          <w:trHeight w:val="67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4.1 Ушбу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бажарилмаганлиги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амалдаги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қонунлар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доирасида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жавобгар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бўладилар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120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4.2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жараёнида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таъсир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этадиган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форс-мажор (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табиий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офатлар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бошқа) ҳолатлар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юзага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келганлиги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туфайли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бажарилмай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қолса,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бажарилмаган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жавобгар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бўлмайдилар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31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БОШҚА ШАРТЛАР</w:t>
            </w:r>
          </w:p>
        </w:tc>
      </w:tr>
      <w:tr w:rsidR="00E43515" w:rsidRPr="005A5B23" w:rsidTr="0035286D">
        <w:trPr>
          <w:trHeight w:val="96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доирасида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яратилган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илмий-техник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маҳсулотга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томонлар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Республикасининг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тегишли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қонунларига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риоя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қилган ҳолда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муносабатда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бўладилар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ҳуқ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қли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эгалик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қиладирлар.</w:t>
            </w:r>
          </w:p>
        </w:tc>
      </w:tr>
      <w:tr w:rsidR="00E43515" w:rsidRPr="005A5B23" w:rsidTr="0035286D">
        <w:trPr>
          <w:trHeight w:val="31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5.2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Томонларнинг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ўзаро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келишуви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асосида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қа қўшимча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ҳам қўлланилиши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мумкин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58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 ШАРТНОМАНИНГ АМАЛ ҚИЛИШ МУДДАТИ ВА ТОМОНЛАРНИНГ ҲУҚ</w:t>
            </w:r>
            <w:proofErr w:type="gram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ҚИЙ МАНЗИЛЛАРИ</w:t>
            </w:r>
          </w:p>
        </w:tc>
      </w:tr>
      <w:tr w:rsidR="00E43515" w:rsidRPr="005A5B23" w:rsidTr="0035286D">
        <w:trPr>
          <w:trHeight w:val="409"/>
        </w:trPr>
        <w:tc>
          <w:tcPr>
            <w:tcW w:w="993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6.1 Ушбу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май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 20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«31»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декабргача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белгиланади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Бюджетдан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маблағ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олувчи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ташкилотлар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Ғазначилик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бўлинмасида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ўйхатга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кундан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бошлаб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амал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қилиш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31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декабр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гача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белгиланади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607"/>
        </w:trPr>
        <w:tc>
          <w:tcPr>
            <w:tcW w:w="993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5A5B23" w:rsidTr="0035286D">
        <w:trPr>
          <w:trHeight w:val="39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6.2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Томонларнинг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манзиллари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ҳисоб рақамлари:</w:t>
            </w:r>
          </w:p>
        </w:tc>
      </w:tr>
      <w:tr w:rsidR="00E43515" w:rsidRPr="005A5B23" w:rsidTr="0035286D">
        <w:trPr>
          <w:trHeight w:val="345"/>
        </w:trPr>
        <w:tc>
          <w:tcPr>
            <w:tcW w:w="52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67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E43515" w:rsidRPr="005A5B23" w:rsidTr="0035286D">
        <w:trPr>
          <w:trHeight w:val="705"/>
        </w:trPr>
        <w:tc>
          <w:tcPr>
            <w:tcW w:w="52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3515" w:rsidRDefault="00E43515" w:rsidP="00352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  <w:p w:rsidR="00E43515" w:rsidRPr="000434DD" w:rsidRDefault="00E43515" w:rsidP="00352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  <w:t>Катта Андижон магистрал канали бошқармаси</w:t>
            </w:r>
          </w:p>
          <w:p w:rsidR="00E43515" w:rsidRPr="0062304A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467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vMerge w:val="restart"/>
            <w:shd w:val="clear" w:color="000000" w:fill="FFFFFF"/>
            <w:vAlign w:val="center"/>
          </w:tcPr>
          <w:p w:rsidR="00E43515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 xml:space="preserve">Андижон вилояти Балиқчи тумани </w:t>
            </w:r>
          </w:p>
          <w:p w:rsidR="00E43515" w:rsidRPr="000562F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Омонариқ МФЙ КАК кўчаси 8 уй</w:t>
            </w: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vMerge/>
            <w:shd w:val="clear" w:color="000000" w:fill="FFFFFF"/>
            <w:vAlign w:val="center"/>
          </w:tcPr>
          <w:p w:rsidR="00E43515" w:rsidRPr="00082BB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62304A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62304A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Л/с: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1000 1086 0032 0670 4240 2170 001</w:t>
            </w: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62304A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200261747</w:t>
            </w:r>
            <w:r w:rsidRPr="000434DD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,</w:t>
            </w:r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ОКОНХ: </w:t>
            </w: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ОПЕРУ КАЗНАЧЕЙСТВА </w:t>
            </w:r>
            <w:proofErr w:type="spellStart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</w:t>
            </w:r>
            <w:proofErr w:type="gramStart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ИН.РУз</w:t>
            </w:r>
            <w:proofErr w:type="spellEnd"/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</w:t>
            </w:r>
            <w:proofErr w:type="spellEnd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23402000300100001010</w:t>
            </w: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 ББ ХККМ </w:t>
            </w:r>
            <w:proofErr w:type="spellStart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proofErr w:type="spellEnd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МФО: 00014</w:t>
            </w: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ИНН: 201122919</w:t>
            </w:r>
          </w:p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</w:p>
        </w:tc>
      </w:tr>
      <w:tr w:rsidR="00E43515" w:rsidRPr="005A5B23" w:rsidTr="0035286D">
        <w:trPr>
          <w:trHeight w:val="1159"/>
        </w:trPr>
        <w:tc>
          <w:tcPr>
            <w:tcW w:w="5267" w:type="dxa"/>
            <w:gridSpan w:val="6"/>
            <w:shd w:val="clear" w:color="auto" w:fill="auto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  <w:t>Катта Андижон магистрал канали бошқармаси бошлиғи</w:t>
            </w:r>
          </w:p>
        </w:tc>
        <w:tc>
          <w:tcPr>
            <w:tcW w:w="844" w:type="dxa"/>
            <w:shd w:val="clear" w:color="auto" w:fill="auto"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noWrap/>
          </w:tcPr>
          <w:p w:rsidR="00E43515" w:rsidRDefault="00E43515" w:rsidP="0035286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директори</w:t>
            </w:r>
            <w:proofErr w:type="spellEnd"/>
          </w:p>
        </w:tc>
      </w:tr>
      <w:tr w:rsidR="00E43515" w:rsidRPr="005A5B23" w:rsidTr="0035286D">
        <w:trPr>
          <w:trHeight w:val="850"/>
        </w:trPr>
        <w:tc>
          <w:tcPr>
            <w:tcW w:w="5267" w:type="dxa"/>
            <w:gridSpan w:val="6"/>
            <w:shd w:val="clear" w:color="000000" w:fill="FFFFFF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___________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 xml:space="preserve">                      С.А.Султонов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</w:p>
        </w:tc>
      </w:tr>
      <w:tr w:rsidR="00E43515" w:rsidRPr="005A5B23" w:rsidTr="0035286D">
        <w:trPr>
          <w:trHeight w:val="559"/>
        </w:trPr>
        <w:tc>
          <w:tcPr>
            <w:tcW w:w="5267" w:type="dxa"/>
            <w:gridSpan w:val="6"/>
            <w:shd w:val="clear" w:color="000000" w:fill="FFFFFF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"___" ____________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"___" ____________</w:t>
            </w:r>
          </w:p>
        </w:tc>
      </w:tr>
      <w:tr w:rsidR="00E43515" w:rsidRPr="005A5B23" w:rsidTr="0035286D">
        <w:trPr>
          <w:trHeight w:val="315"/>
        </w:trPr>
        <w:tc>
          <w:tcPr>
            <w:tcW w:w="3063" w:type="dxa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82723" w:rsidRPr="00E43515" w:rsidRDefault="00782723" w:rsidP="00E43515"/>
    <w:sectPr w:rsidR="00782723" w:rsidRPr="00E43515" w:rsidSect="0078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43515"/>
    <w:rsid w:val="002D2B3F"/>
    <w:rsid w:val="00632058"/>
    <w:rsid w:val="00782723"/>
    <w:rsid w:val="00E4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15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2022-05-20T04:35:00Z</dcterms:created>
  <dcterms:modified xsi:type="dcterms:W3CDTF">2022-05-20T04:35:00Z</dcterms:modified>
</cp:coreProperties>
</file>