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3F27EA" w:rsidP="005E2FD8">
      <w:pPr>
        <w:ind w:left="142" w:right="141"/>
        <w:jc w:val="center"/>
        <w:rPr>
          <w:b/>
          <w:bCs/>
          <w:lang w:val="uz-Cyrl-UZ"/>
        </w:rPr>
      </w:pPr>
      <w:r>
        <w:rPr>
          <w:b/>
          <w:bCs/>
          <w:lang w:val="uz-Cyrl-UZ"/>
        </w:rPr>
        <w:t>1</w:t>
      </w:r>
      <w:r w:rsidR="005E2FD8"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sidR="003F27EA">
        <w:rPr>
          <w:lang w:val="uz-Cyrl-UZ"/>
        </w:rPr>
        <w:t>20</w:t>
      </w:r>
      <w:r w:rsidRPr="00DD392D">
        <w:rPr>
          <w:lang w:val="uz-Cyrl-UZ"/>
        </w:rPr>
        <w:t xml:space="preserve">” </w:t>
      </w:r>
      <w:r w:rsidR="003F27EA">
        <w:rPr>
          <w:lang w:val="uz-Cyrl-UZ"/>
        </w:rPr>
        <w:t>май</w:t>
      </w:r>
      <w:r w:rsidRPr="00DD392D">
        <w:rPr>
          <w:lang w:val="uz-Cyrl-UZ"/>
        </w:rPr>
        <w:t xml:space="preserve"> 20</w:t>
      </w:r>
      <w:r>
        <w:rPr>
          <w:lang w:val="uz-Cyrl-UZ"/>
        </w:rPr>
        <w:t>2</w:t>
      </w:r>
      <w:r w:rsidR="00EB0DB2">
        <w:rPr>
          <w:lang w:val="uz-Cyrl-UZ"/>
        </w:rPr>
        <w:t>2</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E574C6" w:rsidRDefault="005E2FD8" w:rsidP="005E2FD8">
      <w:pPr>
        <w:ind w:left="142" w:right="141" w:firstLine="680"/>
        <w:jc w:val="both"/>
        <w:rPr>
          <w:b/>
          <w:i/>
          <w:sz w:val="24"/>
          <w:szCs w:val="24"/>
          <w:lang w:val="uz-Cyrl-UZ"/>
        </w:rPr>
      </w:pPr>
      <w:r w:rsidRPr="00E574C6">
        <w:rPr>
          <w:sz w:val="24"/>
          <w:szCs w:val="24"/>
          <w:lang w:val="uz-Cyrl-UZ"/>
        </w:rPr>
        <w:t>Кейинги ўринларда</w:t>
      </w:r>
      <w:r w:rsidRPr="00E574C6">
        <w:rPr>
          <w:b/>
          <w:sz w:val="24"/>
          <w:szCs w:val="24"/>
          <w:lang w:val="uz-Cyrl-UZ"/>
        </w:rPr>
        <w:t xml:space="preserve"> «Буюртмачи»</w:t>
      </w:r>
      <w:r w:rsidRPr="00E574C6">
        <w:rPr>
          <w:sz w:val="24"/>
          <w:szCs w:val="24"/>
          <w:lang w:val="uz-Cyrl-UZ"/>
        </w:rPr>
        <w:t xml:space="preserve"> деб юритиладиган </w:t>
      </w:r>
      <w:r w:rsidRPr="00E574C6">
        <w:rPr>
          <w:b/>
          <w:sz w:val="24"/>
          <w:szCs w:val="24"/>
          <w:lang w:val="uz-Cyrl-UZ"/>
        </w:rPr>
        <w:t>“Бухоройўлкўкалам”</w:t>
      </w:r>
      <w:r w:rsidRPr="00E574C6">
        <w:rPr>
          <w:sz w:val="24"/>
          <w:szCs w:val="24"/>
          <w:lang w:val="uz-Cyrl-UZ"/>
        </w:rPr>
        <w:t xml:space="preserve"> УК номидан Устав асосида иш юритувчи директор </w:t>
      </w:r>
      <w:r w:rsidRPr="00E574C6">
        <w:rPr>
          <w:b/>
          <w:sz w:val="24"/>
          <w:szCs w:val="24"/>
          <w:lang w:val="uz-Cyrl-UZ"/>
        </w:rPr>
        <w:t xml:space="preserve">А.М.Бобоев </w:t>
      </w:r>
      <w:r w:rsidRPr="00E574C6">
        <w:rPr>
          <w:sz w:val="24"/>
          <w:szCs w:val="24"/>
          <w:lang w:val="uz-Cyrl-UZ"/>
        </w:rPr>
        <w:t xml:space="preserve">бир томондан ва кейинги ўринларда </w:t>
      </w:r>
      <w:r w:rsidRPr="00E574C6">
        <w:rPr>
          <w:b/>
          <w:sz w:val="24"/>
          <w:szCs w:val="24"/>
          <w:lang w:val="uz-Cyrl-UZ"/>
        </w:rPr>
        <w:t xml:space="preserve">«Пудратчи» </w:t>
      </w:r>
      <w:r w:rsidRPr="00E574C6">
        <w:rPr>
          <w:sz w:val="24"/>
          <w:szCs w:val="24"/>
          <w:lang w:val="uz-Cyrl-UZ"/>
        </w:rPr>
        <w:t xml:space="preserve">деб юритиладиган </w:t>
      </w:r>
      <w:r w:rsidR="003F27EA" w:rsidRPr="003F27EA">
        <w:rPr>
          <w:b/>
          <w:sz w:val="24"/>
          <w:szCs w:val="24"/>
          <w:lang w:val="uz-Cyrl-UZ"/>
        </w:rPr>
        <w:t>Жондор Равон макон</w:t>
      </w:r>
      <w:r w:rsidRPr="00E574C6">
        <w:rPr>
          <w:sz w:val="24"/>
          <w:szCs w:val="24"/>
          <w:lang w:val="uz-Cyrl-UZ"/>
        </w:rPr>
        <w:t xml:space="preserve"> </w:t>
      </w:r>
      <w:r w:rsidR="003F27EA">
        <w:rPr>
          <w:sz w:val="24"/>
          <w:szCs w:val="24"/>
          <w:lang w:val="uz-Cyrl-UZ"/>
        </w:rPr>
        <w:t xml:space="preserve">МЧЖ </w:t>
      </w:r>
      <w:r w:rsidRPr="00E574C6">
        <w:rPr>
          <w:sz w:val="24"/>
          <w:szCs w:val="24"/>
          <w:lang w:val="uz-Cyrl-UZ"/>
        </w:rPr>
        <w:t xml:space="preserve">номидан хужалик низоми асосида иш юритувчи директор </w:t>
      </w:r>
      <w:r w:rsidR="003F27EA">
        <w:rPr>
          <w:sz w:val="24"/>
          <w:szCs w:val="24"/>
          <w:lang w:val="uz-Cyrl-UZ"/>
        </w:rPr>
        <w:t xml:space="preserve">Э.Остонов </w:t>
      </w:r>
      <w:r w:rsidRPr="00E574C6">
        <w:rPr>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5E2FD8">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firstLine="680"/>
        <w:jc w:val="both"/>
        <w:rPr>
          <w:lang w:val="uz-Cyrl-UZ"/>
        </w:rPr>
      </w:pP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E574C6" w:rsidRDefault="005E2FD8" w:rsidP="00992970">
      <w:pPr>
        <w:widowControl/>
        <w:numPr>
          <w:ilvl w:val="1"/>
          <w:numId w:val="2"/>
        </w:numPr>
        <w:ind w:right="141"/>
        <w:jc w:val="both"/>
        <w:rPr>
          <w:color w:val="000000"/>
          <w:sz w:val="24"/>
          <w:szCs w:val="24"/>
          <w:lang w:val="uz-Cyrl-UZ"/>
        </w:rPr>
      </w:pPr>
      <w:r w:rsidRPr="00E574C6">
        <w:rPr>
          <w:color w:val="000000"/>
          <w:sz w:val="24"/>
          <w:szCs w:val="24"/>
          <w:lang w:val="uz-Cyrl-UZ"/>
        </w:rPr>
        <w:t xml:space="preserve">Пудратчи мазкур шартнома шартларига  мувофиқ, </w:t>
      </w:r>
      <w:r w:rsidR="00117A7F">
        <w:rPr>
          <w:color w:val="000000"/>
          <w:sz w:val="24"/>
          <w:szCs w:val="24"/>
          <w:lang w:val="uz-Cyrl-UZ"/>
        </w:rPr>
        <w:t>_________________________________________________________________________________</w:t>
      </w:r>
      <w:r w:rsidRPr="00E574C6">
        <w:rPr>
          <w:color w:val="000000"/>
          <w:sz w:val="24"/>
          <w:szCs w:val="24"/>
          <w:lang w:val="uz-Cyrl-UZ"/>
        </w:rPr>
        <w:t xml:space="preserve">лойиҳаси-смета ҳужжатида кўзда тутилган </w:t>
      </w:r>
      <w:r w:rsidR="00D15E77" w:rsidRPr="00E574C6">
        <w:rPr>
          <w:color w:val="000000"/>
          <w:sz w:val="24"/>
          <w:szCs w:val="24"/>
          <w:lang w:val="uz-Cyrl-UZ"/>
        </w:rPr>
        <w:t>кўкаламзорлаштириш ва</w:t>
      </w:r>
      <w:r w:rsidRPr="00E574C6">
        <w:rPr>
          <w:color w:val="000000"/>
          <w:sz w:val="24"/>
          <w:szCs w:val="24"/>
          <w:lang w:val="uz-Cyrl-UZ"/>
        </w:rPr>
        <w:t xml:space="preserve"> </w:t>
      </w:r>
      <w:r w:rsidR="00CD5104" w:rsidRPr="00E574C6">
        <w:rPr>
          <w:color w:val="000000"/>
          <w:sz w:val="24"/>
          <w:szCs w:val="24"/>
          <w:lang w:val="uz-Cyrl-UZ"/>
        </w:rPr>
        <w:t>техника хизмати кўрсатиш</w:t>
      </w:r>
      <w:r w:rsidR="00CD5104" w:rsidRPr="00E574C6">
        <w:rPr>
          <w:sz w:val="24"/>
          <w:szCs w:val="24"/>
          <w:lang w:val="uz-Cyrl-UZ"/>
        </w:rPr>
        <w:t xml:space="preserve"> </w:t>
      </w:r>
      <w:r w:rsidRPr="00E574C6">
        <w:rPr>
          <w:color w:val="000000"/>
          <w:sz w:val="24"/>
          <w:szCs w:val="24"/>
          <w:lang w:val="uz-Cyrl-UZ"/>
        </w:rPr>
        <w:t xml:space="preserve"> мажбуриятини олади, Буюртмачи эс</w:t>
      </w:r>
      <w:r w:rsidR="00C24B0E" w:rsidRPr="00E574C6">
        <w:rPr>
          <w:color w:val="000000"/>
          <w:sz w:val="24"/>
          <w:szCs w:val="24"/>
          <w:lang w:val="uz-Cyrl-UZ"/>
        </w:rPr>
        <w:t>а Пудратчига кўкаламзорлаштириш ва</w:t>
      </w:r>
      <w:r w:rsidRPr="00E574C6">
        <w:rPr>
          <w:color w:val="000000"/>
          <w:sz w:val="24"/>
          <w:szCs w:val="24"/>
          <w:lang w:val="uz-Cyrl-UZ"/>
        </w:rPr>
        <w:t xml:space="preserve"> </w:t>
      </w:r>
      <w:r w:rsidR="00AE32F5" w:rsidRPr="00E574C6">
        <w:rPr>
          <w:color w:val="000000"/>
          <w:sz w:val="24"/>
          <w:szCs w:val="24"/>
          <w:lang w:val="uz-Cyrl-UZ"/>
        </w:rPr>
        <w:t>техника хизмати кўрсатиш</w:t>
      </w:r>
      <w:r w:rsidR="00AE32F5" w:rsidRPr="00E574C6">
        <w:rPr>
          <w:sz w:val="24"/>
          <w:szCs w:val="24"/>
          <w:lang w:val="uz-Cyrl-UZ"/>
        </w:rPr>
        <w:t xml:space="preserve"> </w:t>
      </w:r>
      <w:r w:rsidR="00AE32F5" w:rsidRPr="00E574C6">
        <w:rPr>
          <w:color w:val="000000"/>
          <w:sz w:val="24"/>
          <w:szCs w:val="24"/>
          <w:lang w:val="uz-Cyrl-UZ"/>
        </w:rPr>
        <w:t xml:space="preserve"> </w:t>
      </w:r>
      <w:r w:rsidRPr="00E574C6">
        <w:rPr>
          <w:color w:val="000000"/>
          <w:sz w:val="24"/>
          <w:szCs w:val="24"/>
          <w:lang w:val="uz-Cyrl-UZ"/>
        </w:rPr>
        <w:t xml:space="preserve"> учун зарур шароитлар яратиш, уларни қабул қилиш ва </w:t>
      </w:r>
      <w:r w:rsidRPr="00E574C6">
        <w:rPr>
          <w:sz w:val="24"/>
          <w:szCs w:val="24"/>
          <w:lang w:val="uz-Cyrl-UZ"/>
        </w:rPr>
        <w:t>молиялаштириш манбаи бўлган Ўзбекистон Республикаси Вазирлар Махкамаси хузуридаги Республика йўл жамғармаси томонидан  шартнома тузилаётган объект учун маблағ таъминланиши билан</w:t>
      </w:r>
      <w:r w:rsidRPr="00E574C6">
        <w:rPr>
          <w:color w:val="000000"/>
          <w:sz w:val="24"/>
          <w:szCs w:val="24"/>
          <w:lang w:val="uz-Cyrl-UZ"/>
        </w:rPr>
        <w:t xml:space="preserve"> тўловни амалга ошириш мажбуриятини олади.</w:t>
      </w:r>
    </w:p>
    <w:p w:rsidR="005E2FD8" w:rsidRPr="00E574C6" w:rsidRDefault="005E2FD8" w:rsidP="005E2FD8">
      <w:pPr>
        <w:widowControl/>
        <w:numPr>
          <w:ilvl w:val="1"/>
          <w:numId w:val="2"/>
        </w:numPr>
        <w:ind w:left="142" w:right="141" w:firstLine="709"/>
        <w:jc w:val="both"/>
        <w:rPr>
          <w:sz w:val="24"/>
          <w:szCs w:val="24"/>
          <w:lang w:val="uz-Cyrl-UZ"/>
        </w:rPr>
      </w:pPr>
      <w:r w:rsidRPr="00E574C6">
        <w:rPr>
          <w:sz w:val="24"/>
          <w:szCs w:val="24"/>
          <w:lang w:val="uz-Cyrl-UZ"/>
        </w:rPr>
        <w:t xml:space="preserve">Буюртмачи томонидан молиялаштирилаётган </w:t>
      </w:r>
      <w:r w:rsidRPr="00E574C6">
        <w:rPr>
          <w:color w:val="000000"/>
          <w:sz w:val="24"/>
          <w:szCs w:val="24"/>
          <w:lang w:val="uz-Cyrl-UZ"/>
        </w:rPr>
        <w:t xml:space="preserve">кўкаламзорлаштириш, </w:t>
      </w:r>
      <w:r w:rsidR="00173092" w:rsidRPr="00E574C6">
        <w:rPr>
          <w:color w:val="000000"/>
          <w:sz w:val="24"/>
          <w:szCs w:val="24"/>
          <w:lang w:val="uz-Cyrl-UZ"/>
        </w:rPr>
        <w:t>техника хизмати кўрсатиш</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4F5A37">
      <w:pPr>
        <w:widowControl/>
        <w:numPr>
          <w:ilvl w:val="1"/>
          <w:numId w:val="3"/>
        </w:numPr>
        <w:spacing w:line="360" w:lineRule="auto"/>
        <w:ind w:left="142" w:right="141" w:firstLine="709"/>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3F27EA">
        <w:rPr>
          <w:sz w:val="24"/>
          <w:szCs w:val="24"/>
          <w:lang w:val="uz-Cyrl-UZ"/>
        </w:rPr>
        <w:t>193000000(Бир юз туксон уч миллион)</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5E2FD8">
      <w:pPr>
        <w:widowControl/>
        <w:numPr>
          <w:ilvl w:val="1"/>
          <w:numId w:val="3"/>
        </w:numPr>
        <w:ind w:left="142" w:right="141" w:firstLine="680"/>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5E2FD8">
      <w:pPr>
        <w:widowControl/>
        <w:numPr>
          <w:ilvl w:val="0"/>
          <w:numId w:val="1"/>
        </w:numPr>
        <w:ind w:left="142" w:right="141"/>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5E2FD8">
      <w:pPr>
        <w:widowControl/>
        <w:numPr>
          <w:ilvl w:val="0"/>
          <w:numId w:val="1"/>
        </w:numPr>
        <w:autoSpaceDE/>
        <w:autoSpaceDN/>
        <w:adjustRightInd/>
        <w:ind w:left="142" w:right="141"/>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5E2FD8">
      <w:pPr>
        <w:widowControl/>
        <w:numPr>
          <w:ilvl w:val="1"/>
          <w:numId w:val="3"/>
        </w:numPr>
        <w:autoSpaceDE/>
        <w:autoSpaceDN/>
        <w:adjustRightInd/>
        <w:ind w:left="142" w:right="141" w:firstLine="680"/>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5E2FD8">
      <w:pPr>
        <w:widowControl/>
        <w:numPr>
          <w:ilvl w:val="1"/>
          <w:numId w:val="3"/>
        </w:numPr>
        <w:ind w:left="142" w:right="141" w:firstLine="709"/>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5E2FD8">
      <w:pPr>
        <w:ind w:left="142" w:right="141" w:firstLine="709"/>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5E2FD8">
      <w:pPr>
        <w:ind w:left="142" w:right="141" w:firstLine="709"/>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5E2FD8">
      <w:pPr>
        <w:ind w:left="142" w:right="141" w:firstLine="709"/>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5E2FD8">
      <w:pPr>
        <w:ind w:left="142" w:right="141" w:firstLine="709"/>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5E2FD8">
      <w:pPr>
        <w:ind w:left="142" w:right="141" w:firstLine="709"/>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lastRenderedPageBreak/>
        <w:t>мазкур шартномада назарда тутилган барча мажбуриятларни муддатида ва тўлиқ ҳажмда 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EB0DB2">
        <w:rPr>
          <w:sz w:val="22"/>
          <w:szCs w:val="22"/>
          <w:lang w:val="uz-Cyrl-UZ"/>
        </w:rPr>
        <w:t>15</w:t>
      </w:r>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901721">
        <w:rPr>
          <w:color w:val="000000"/>
          <w:sz w:val="22"/>
          <w:szCs w:val="22"/>
          <w:lang w:val="uz-Cyrl-UZ"/>
        </w:rPr>
        <w:t xml:space="preserve">    </w:t>
      </w:r>
      <w:r w:rsidRPr="00B36F93">
        <w:rPr>
          <w:color w:val="000000"/>
          <w:sz w:val="22"/>
          <w:szCs w:val="22"/>
          <w:lang w:val="uz-Cyrl-UZ"/>
        </w:rPr>
        <w:t>»</w:t>
      </w:r>
      <w:r w:rsidR="00041929" w:rsidRPr="00B36F93">
        <w:rPr>
          <w:color w:val="000000"/>
          <w:sz w:val="22"/>
          <w:szCs w:val="22"/>
          <w:lang w:val="uz-Cyrl-UZ"/>
        </w:rPr>
        <w:t xml:space="preserve">  </w:t>
      </w:r>
      <w:r w:rsidR="00901721">
        <w:rPr>
          <w:color w:val="000000"/>
          <w:sz w:val="22"/>
          <w:szCs w:val="22"/>
          <w:lang w:val="uz-Cyrl-UZ"/>
        </w:rPr>
        <w:t>____________</w:t>
      </w:r>
      <w:r w:rsidR="00041929" w:rsidRPr="00B36F93">
        <w:rPr>
          <w:color w:val="000000"/>
          <w:sz w:val="22"/>
          <w:szCs w:val="22"/>
          <w:lang w:val="uz-Cyrl-UZ"/>
        </w:rPr>
        <w:t xml:space="preserve"> </w:t>
      </w:r>
      <w:r w:rsidRPr="00B36F93">
        <w:rPr>
          <w:color w:val="000000"/>
          <w:sz w:val="22"/>
          <w:szCs w:val="22"/>
          <w:lang w:val="uz-Cyrl-UZ"/>
        </w:rPr>
        <w:t xml:space="preserve"> 20</w:t>
      </w:r>
      <w:r w:rsidRPr="00B36F93">
        <w:rPr>
          <w:color w:val="000000"/>
          <w:sz w:val="22"/>
          <w:szCs w:val="22"/>
        </w:rPr>
        <w:t>2</w:t>
      </w:r>
      <w:r w:rsidR="00901721">
        <w:rPr>
          <w:color w:val="000000"/>
          <w:sz w:val="22"/>
          <w:szCs w:val="22"/>
        </w:rPr>
        <w:t>2</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 xml:space="preserve">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умумий шартномавий жорий қийматининг </w:t>
      </w:r>
      <w:r w:rsidR="00570858" w:rsidRPr="00B36F93">
        <w:rPr>
          <w:lang w:val="uz-Cyrl-UZ"/>
        </w:rPr>
        <w:t xml:space="preserve">колган </w:t>
      </w:r>
      <w:r w:rsidR="006D3D3E" w:rsidRPr="00B36F93">
        <w:rPr>
          <w:lang w:val="uz-Cyrl-UZ"/>
        </w:rPr>
        <w:t>6</w:t>
      </w:r>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lastRenderedPageBreak/>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 xml:space="preserve">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w:t>
      </w:r>
      <w:r w:rsidRPr="00B36F93">
        <w:rPr>
          <w:lang w:val="uz-Cyrl-UZ"/>
        </w:rPr>
        <w:lastRenderedPageBreak/>
        <w:t>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r w:rsidRPr="00DD392D">
              <w:t>х/</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5E2FD8" w:rsidRPr="00DD392D" w:rsidRDefault="005E2FD8" w:rsidP="005E2FD8">
            <w:pPr>
              <w:ind w:left="142" w:right="141"/>
              <w:jc w:val="center"/>
              <w:rPr>
                <w:b/>
                <w:lang w:val="uz-Cyrl-UZ"/>
              </w:rPr>
            </w:pPr>
            <w:r w:rsidRPr="00DD392D">
              <w:rPr>
                <w:b/>
                <w:lang w:val="uz-Cyrl-UZ"/>
              </w:rPr>
              <w:t>«Пудратчи»</w:t>
            </w:r>
          </w:p>
          <w:p w:rsidR="005E2FD8" w:rsidRPr="00DD392D" w:rsidRDefault="003F27EA" w:rsidP="005E2FD8">
            <w:pPr>
              <w:ind w:left="142" w:right="141"/>
              <w:jc w:val="center"/>
              <w:rPr>
                <w:b/>
                <w:lang w:val="uz-Cyrl-UZ"/>
              </w:rPr>
            </w:pPr>
            <w:r>
              <w:rPr>
                <w:b/>
                <w:lang w:val="uz-Cyrl-UZ"/>
              </w:rPr>
              <w:t>Жондор равон макон МЧЖ</w:t>
            </w:r>
          </w:p>
          <w:p w:rsidR="005E2FD8" w:rsidRDefault="005E2FD8" w:rsidP="003F27EA">
            <w:pPr>
              <w:tabs>
                <w:tab w:val="center" w:pos="2322"/>
              </w:tabs>
              <w:ind w:left="142" w:right="141"/>
              <w:jc w:val="both"/>
              <w:rPr>
                <w:b/>
              </w:rPr>
            </w:pPr>
          </w:p>
          <w:p w:rsidR="003F27EA" w:rsidRDefault="003F27EA" w:rsidP="003F27EA">
            <w:pPr>
              <w:ind w:left="142" w:right="141"/>
              <w:jc w:val="both"/>
              <w:rPr>
                <w:lang w:val="uz-Cyrl-UZ"/>
              </w:rPr>
            </w:pPr>
            <w:proofErr w:type="spellStart"/>
            <w:r w:rsidRPr="00DD392D">
              <w:t>Манзили</w:t>
            </w:r>
            <w:proofErr w:type="spellEnd"/>
            <w:r w:rsidRPr="00DD392D">
              <w:t xml:space="preserve">: </w:t>
            </w:r>
            <w:r>
              <w:t xml:space="preserve">Бух вил. </w:t>
            </w:r>
            <w:r>
              <w:rPr>
                <w:lang w:val="uz-Cyrl-UZ"/>
              </w:rPr>
              <w:t>Жондор</w:t>
            </w:r>
            <w:r>
              <w:t xml:space="preserve"> </w:t>
            </w:r>
            <w:proofErr w:type="spellStart"/>
            <w:r>
              <w:t>т</w:t>
            </w:r>
            <w:proofErr w:type="spellEnd"/>
            <w:r>
              <w:t xml:space="preserve">. </w:t>
            </w:r>
            <w:r>
              <w:rPr>
                <w:lang w:val="uz-Cyrl-UZ"/>
              </w:rPr>
              <w:t>Хумдонак</w:t>
            </w:r>
            <w:r>
              <w:t xml:space="preserve"> МФЙ                    </w:t>
            </w:r>
            <w:r>
              <w:rPr>
                <w:lang w:val="uz-Cyrl-UZ"/>
              </w:rPr>
              <w:t xml:space="preserve">кулиён </w:t>
            </w:r>
            <w:proofErr w:type="spellStart"/>
            <w:r>
              <w:t>кучаси</w:t>
            </w:r>
            <w:proofErr w:type="spellEnd"/>
            <w:r>
              <w:t xml:space="preserve"> </w:t>
            </w:r>
          </w:p>
          <w:p w:rsidR="003F27EA" w:rsidRPr="00DD392D" w:rsidRDefault="003F27EA" w:rsidP="003F27EA">
            <w:pPr>
              <w:ind w:left="142" w:right="141"/>
              <w:jc w:val="both"/>
            </w:pPr>
            <w:r w:rsidRPr="00DD392D">
              <w:t>Телефон</w:t>
            </w:r>
            <w:proofErr w:type="gramStart"/>
            <w:r w:rsidRPr="00DD392D">
              <w:t xml:space="preserve"> :</w:t>
            </w:r>
            <w:proofErr w:type="gramEnd"/>
            <w:r w:rsidRPr="00DD392D">
              <w:t xml:space="preserve"> </w:t>
            </w:r>
          </w:p>
          <w:p w:rsidR="003F27EA" w:rsidRPr="00D91A27" w:rsidRDefault="003F27EA" w:rsidP="003F27EA">
            <w:pPr>
              <w:ind w:left="142" w:right="141"/>
              <w:jc w:val="both"/>
            </w:pPr>
            <w:r w:rsidRPr="00DD392D">
              <w:t>х/</w:t>
            </w:r>
            <w:proofErr w:type="gramStart"/>
            <w:r w:rsidRPr="00DD392D">
              <w:t>р</w:t>
            </w:r>
            <w:proofErr w:type="gramEnd"/>
            <w:r w:rsidRPr="00DD392D">
              <w:t xml:space="preserve"> </w:t>
            </w:r>
            <w:r w:rsidRPr="00DD392D">
              <w:rPr>
                <w:lang w:val="uz-Cyrl-UZ"/>
              </w:rPr>
              <w:t xml:space="preserve"> </w:t>
            </w:r>
            <w:r>
              <w:rPr>
                <w:lang w:val="uz-Cyrl-UZ"/>
              </w:rPr>
              <w:t>20208000600773688001</w:t>
            </w:r>
          </w:p>
          <w:p w:rsidR="003F27EA" w:rsidRDefault="003F27EA" w:rsidP="003F27EA">
            <w:pPr>
              <w:ind w:left="142" w:right="141"/>
              <w:jc w:val="both"/>
            </w:pPr>
            <w:r w:rsidRPr="00DD392D">
              <w:rPr>
                <w:lang w:val="uz-Cyrl-UZ"/>
              </w:rPr>
              <w:t>ИНН</w:t>
            </w:r>
            <w:r w:rsidRPr="00DD392D">
              <w:t xml:space="preserve"> </w:t>
            </w:r>
            <w:r w:rsidRPr="00DD392D">
              <w:rPr>
                <w:lang w:val="uz-Cyrl-UZ"/>
              </w:rPr>
              <w:t xml:space="preserve"> </w:t>
            </w:r>
            <w:r>
              <w:rPr>
                <w:lang w:val="uz-Cyrl-UZ"/>
              </w:rPr>
              <w:t>304867112</w:t>
            </w:r>
          </w:p>
          <w:p w:rsidR="003F27EA" w:rsidRPr="00DD392D" w:rsidRDefault="003F27EA" w:rsidP="003F27EA">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Pr>
                <w:lang w:val="uz-Cyrl-UZ"/>
              </w:rPr>
              <w:t>А</w:t>
            </w:r>
            <w:proofErr w:type="gramEnd"/>
            <w:r>
              <w:rPr>
                <w:lang w:val="uz-Cyrl-UZ"/>
              </w:rPr>
              <w:t>ТБ</w:t>
            </w:r>
            <w:r w:rsidRPr="00DD392D">
              <w:rPr>
                <w:lang w:val="uz-Cyrl-UZ"/>
              </w:rPr>
              <w:t xml:space="preserve"> </w:t>
            </w:r>
            <w:r>
              <w:rPr>
                <w:lang w:val="uz-Cyrl-UZ"/>
              </w:rPr>
              <w:t xml:space="preserve"> Қишлоқ қурилиш банк</w:t>
            </w:r>
            <w:r w:rsidRPr="00DD392D">
              <w:rPr>
                <w:lang w:val="uz-Cyrl-UZ"/>
              </w:rPr>
              <w:t xml:space="preserve"> Бухоро вилоят бўлими</w:t>
            </w:r>
          </w:p>
          <w:p w:rsidR="003F27EA" w:rsidRPr="003F27EA" w:rsidRDefault="003F27EA" w:rsidP="003F27EA">
            <w:pPr>
              <w:ind w:left="142" w:right="141"/>
              <w:jc w:val="both"/>
              <w:rPr>
                <w:lang w:val="uz-Cyrl-UZ"/>
              </w:rPr>
            </w:pPr>
            <w:r>
              <w:t>МФО 00</w:t>
            </w:r>
            <w:r>
              <w:rPr>
                <w:lang w:val="uz-Cyrl-UZ"/>
              </w:rPr>
              <w:t>115</w:t>
            </w:r>
            <w:bookmarkStart w:id="0" w:name="_GoBack"/>
            <w:bookmarkEnd w:id="0"/>
          </w:p>
          <w:p w:rsidR="003F27EA" w:rsidRPr="00DD392D" w:rsidRDefault="003F27EA" w:rsidP="003F27EA">
            <w:pPr>
              <w:ind w:left="142" w:right="141"/>
              <w:jc w:val="both"/>
              <w:rPr>
                <w:b/>
              </w:rPr>
            </w:pPr>
          </w:p>
          <w:p w:rsidR="003F27EA" w:rsidRPr="00DD392D" w:rsidRDefault="003F27EA" w:rsidP="003F27EA">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3F27EA" w:rsidRPr="00DD392D" w:rsidRDefault="003F27EA" w:rsidP="003F27EA">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М.Ў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C4113"/>
    <w:rsid w:val="003F0672"/>
    <w:rsid w:val="003F27EA"/>
    <w:rsid w:val="00423CBC"/>
    <w:rsid w:val="004408C6"/>
    <w:rsid w:val="004849E9"/>
    <w:rsid w:val="00490337"/>
    <w:rsid w:val="004F5A37"/>
    <w:rsid w:val="005505BA"/>
    <w:rsid w:val="00570858"/>
    <w:rsid w:val="005766EA"/>
    <w:rsid w:val="005D0EBA"/>
    <w:rsid w:val="005E2FD8"/>
    <w:rsid w:val="006A0E47"/>
    <w:rsid w:val="006D3D3E"/>
    <w:rsid w:val="00721B7B"/>
    <w:rsid w:val="00810F4A"/>
    <w:rsid w:val="00901721"/>
    <w:rsid w:val="009023DA"/>
    <w:rsid w:val="00992970"/>
    <w:rsid w:val="009D1230"/>
    <w:rsid w:val="009F682C"/>
    <w:rsid w:val="00A557CD"/>
    <w:rsid w:val="00AD0391"/>
    <w:rsid w:val="00AE32F5"/>
    <w:rsid w:val="00AE5286"/>
    <w:rsid w:val="00B36F93"/>
    <w:rsid w:val="00BC3E42"/>
    <w:rsid w:val="00C0597E"/>
    <w:rsid w:val="00C24B0E"/>
    <w:rsid w:val="00C64B3C"/>
    <w:rsid w:val="00CD5104"/>
    <w:rsid w:val="00D15E77"/>
    <w:rsid w:val="00D340D1"/>
    <w:rsid w:val="00D42706"/>
    <w:rsid w:val="00D57B6C"/>
    <w:rsid w:val="00DE40EF"/>
    <w:rsid w:val="00E240AA"/>
    <w:rsid w:val="00E574C6"/>
    <w:rsid w:val="00EB0DB2"/>
    <w:rsid w:val="00F65094"/>
    <w:rsid w:val="00FB4AFE"/>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2022-05-21T05:15:00Z</dcterms:created>
  <dcterms:modified xsi:type="dcterms:W3CDTF">2022-05-21T05:15:00Z</dcterms:modified>
</cp:coreProperties>
</file>