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950135">
        <w:rPr>
          <w:sz w:val="18"/>
          <w:szCs w:val="18"/>
          <w:lang w:val="en-US"/>
        </w:rPr>
        <w:t>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№ _______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« ______ » _______________ </w:t>
      </w:r>
      <w:r w:rsidRPr="00950135">
        <w:rPr>
          <w:sz w:val="18"/>
          <w:szCs w:val="18"/>
          <w:lang w:val="en-US"/>
        </w:rPr>
        <w:tab/>
      </w:r>
      <w:r w:rsidRPr="00950135">
        <w:rPr>
          <w:sz w:val="18"/>
          <w:szCs w:val="18"/>
          <w:lang w:val="en-US"/>
        </w:rPr>
        <w:tab/>
        <w:t xml:space="preserve"> </w:t>
      </w:r>
      <w:r w:rsidRPr="00950135">
        <w:rPr>
          <w:sz w:val="18"/>
          <w:szCs w:val="18"/>
          <w:lang w:val="en-US"/>
        </w:rPr>
        <w:tab/>
        <w:t xml:space="preserve"> </w:t>
      </w:r>
      <w:r w:rsidRPr="00286ED7">
        <w:rPr>
          <w:sz w:val="18"/>
          <w:szCs w:val="18"/>
          <w:lang w:val="en-US"/>
        </w:rPr>
        <w:t xml:space="preserve">                     </w:t>
      </w:r>
      <w:r w:rsidR="00C65ED5">
        <w:rPr>
          <w:sz w:val="18"/>
          <w:szCs w:val="18"/>
          <w:lang w:val="en-US"/>
        </w:rPr>
        <w:t xml:space="preserve">       </w:t>
      </w:r>
      <w:r w:rsidRPr="00950135">
        <w:rPr>
          <w:sz w:val="18"/>
          <w:szCs w:val="18"/>
          <w:lang w:val="en-US"/>
        </w:rPr>
        <w:tab/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</w:t>
      </w:r>
      <w:proofErr w:type="spellEnd"/>
      <w:r w:rsidRPr="00950135">
        <w:rPr>
          <w:sz w:val="18"/>
          <w:szCs w:val="18"/>
          <w:lang w:val="en-US"/>
        </w:rPr>
        <w:tab/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ab/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xoʼjalik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munosabatlarini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ifodalovchi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faoliyat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xalq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mudirasi</w:t>
      </w:r>
      <w:proofErr w:type="spellEnd"/>
      <w:r w:rsidRPr="00950135">
        <w:rPr>
          <w:sz w:val="18"/>
          <w:szCs w:val="18"/>
          <w:lang w:val="en-US"/>
        </w:rPr>
        <w:t xml:space="preserve"> G.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.</w:t>
      </w:r>
      <w:proofErr w:type="spellStart"/>
      <w:r w:rsidRPr="00950135">
        <w:rPr>
          <w:sz w:val="18"/>
          <w:szCs w:val="18"/>
          <w:lang w:val="en-US"/>
        </w:rPr>
        <w:t>Xalilova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kelgusida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birinchi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"___________________________" (</w:t>
      </w:r>
      <w:proofErr w:type="spell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oʼrinlarda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rahbar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J.Mamadjonov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quyidagilar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tuzdilar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 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PREDMETI.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viloyati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F77110" w:rsidRPr="00F77110">
        <w:rPr>
          <w:sz w:val="18"/>
          <w:szCs w:val="18"/>
          <w:lang w:val="en-US"/>
        </w:rPr>
        <w:t>_</w:t>
      </w:r>
      <w:r w:rsidR="001C685B" w:rsidRPr="001C685B">
        <w:rPr>
          <w:sz w:val="18"/>
          <w:szCs w:val="18"/>
          <w:lang w:val="en-US"/>
        </w:rPr>
        <w:t>29</w:t>
      </w:r>
      <w:r w:rsidR="00F77110" w:rsidRPr="00F77110">
        <w:rPr>
          <w:sz w:val="18"/>
          <w:szCs w:val="18"/>
          <w:lang w:val="en-US"/>
        </w:rPr>
        <w:t>_</w:t>
      </w:r>
      <w:r w:rsidRPr="00950135">
        <w:rPr>
          <w:sz w:val="18"/>
          <w:szCs w:val="18"/>
          <w:lang w:val="en-US"/>
        </w:rPr>
        <w:t xml:space="preserve">-sonli </w:t>
      </w:r>
      <w:proofErr w:type="spellStart"/>
      <w:r w:rsidR="001C685B">
        <w:rPr>
          <w:sz w:val="18"/>
          <w:szCs w:val="18"/>
          <w:lang w:val="en-US"/>
        </w:rPr>
        <w:t>maktab</w:t>
      </w:r>
      <w:proofErr w:type="spellEnd"/>
      <w:r w:rsidR="001C685B">
        <w:rPr>
          <w:sz w:val="18"/>
          <w:szCs w:val="18"/>
          <w:lang w:val="en-US"/>
        </w:rPr>
        <w:t xml:space="preserve"> </w:t>
      </w:r>
      <w:proofErr w:type="spellStart"/>
      <w:r w:rsidR="001C685B">
        <w:rPr>
          <w:sz w:val="18"/>
          <w:szCs w:val="18"/>
          <w:lang w:val="en-US"/>
        </w:rPr>
        <w:t>xojatxonasini</w:t>
      </w:r>
      <w:proofErr w:type="spellEnd"/>
      <w:r w:rsidR="001C685B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esa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2. 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HOSI.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2.1.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ekspertiza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soliqlar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yigʼimlar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ajratmalar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QQSni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jami</w:t>
      </w:r>
      <w:proofErr w:type="spellEnd"/>
      <w:r w:rsidRPr="00950135">
        <w:rPr>
          <w:sz w:val="18"/>
          <w:szCs w:val="18"/>
          <w:lang w:val="en-US"/>
        </w:rPr>
        <w:t xml:space="preserve"> ___________________(_______________________________________________________________) </w:t>
      </w:r>
      <w:proofErr w:type="spellStart"/>
      <w:r w:rsidRPr="00950135">
        <w:rPr>
          <w:sz w:val="18"/>
          <w:szCs w:val="18"/>
          <w:lang w:val="en-US"/>
        </w:rPr>
        <w:t>soʼmni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2.2.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mavjud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qoʼshimcha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bitim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 HISOB-KITOB QILIS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RTIBI.</w:t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solishtiruv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30 %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toʼlovini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hisob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hisob-kitoblar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hakikatda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qarab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chegirgan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  <w:r w:rsidRPr="00950135">
        <w:rPr>
          <w:sz w:val="18"/>
          <w:szCs w:val="18"/>
          <w:lang w:val="en-US"/>
        </w:rPr>
        <w:t xml:space="preserve">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 IS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>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RIS</w:t>
      </w:r>
      <w:r w:rsidR="00C65ED5">
        <w:rPr>
          <w:sz w:val="18"/>
          <w:szCs w:val="18"/>
          <w:lang w:val="en-US"/>
        </w:rPr>
        <w:t xml:space="preserve">H </w:t>
      </w:r>
      <w:r w:rsidRPr="00950135">
        <w:rPr>
          <w:sz w:val="18"/>
          <w:szCs w:val="18"/>
          <w:lang w:val="en-US"/>
        </w:rPr>
        <w:t>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MUDD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4.1.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30kalendar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4.2.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meʼyorlari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muvofiq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taʼminlaydi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ishlarning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texnika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mehnat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muhofazasi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yongʼin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286ED7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JBURIY</w:t>
      </w:r>
      <w:r w:rsidR="00C65ED5">
        <w:rPr>
          <w:sz w:val="18"/>
          <w:szCs w:val="18"/>
          <w:lang w:val="en-US"/>
        </w:rPr>
        <w:t>A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5.1.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286ED7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mirlash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</w:t>
      </w:r>
      <w:r w:rsidRPr="00286ED7">
        <w:rPr>
          <w:sz w:val="18"/>
          <w:szCs w:val="18"/>
          <w:lang w:val="en-US"/>
        </w:rPr>
        <w:t>-</w:t>
      </w:r>
      <w:r w:rsidRPr="00950135">
        <w:rPr>
          <w:sz w:val="18"/>
          <w:szCs w:val="18"/>
          <w:lang w:val="en-US"/>
        </w:rPr>
        <w:t>smeta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lik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286ED7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”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jarayonida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bajarilayotgan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boradi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5.3.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sharoitlarni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yaratib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Shakl-2 </w:t>
      </w:r>
      <w:proofErr w:type="spellStart"/>
      <w:r w:rsidRPr="00950135">
        <w:rPr>
          <w:sz w:val="18"/>
          <w:szCs w:val="18"/>
          <w:lang w:val="en-US"/>
        </w:rPr>
        <w:t>dalolatnomalarini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5.4.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tekshirish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dalolatnomasi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alohida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3 kun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yuboriladi</w:t>
      </w:r>
      <w:proofErr w:type="spellEnd"/>
      <w:r w:rsidRPr="00950135">
        <w:rPr>
          <w:sz w:val="18"/>
          <w:szCs w:val="18"/>
          <w:lang w:val="en-US"/>
        </w:rPr>
        <w:t>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10 kun </w:t>
      </w:r>
      <w:proofErr w:type="spellStart"/>
      <w:r w:rsidRPr="00950135">
        <w:rPr>
          <w:sz w:val="18"/>
          <w:szCs w:val="18"/>
          <w:lang w:val="en-US"/>
        </w:rPr>
        <w:t>davomida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VOBG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RLIGI.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6.1. </w:t>
      </w:r>
      <w:proofErr w:type="spellStart"/>
      <w:r w:rsidRPr="00950135">
        <w:rPr>
          <w:sz w:val="18"/>
          <w:szCs w:val="18"/>
          <w:lang w:val="en-US"/>
        </w:rPr>
        <w:t>Tomonlardan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darajada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aybdor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yetkazilgan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6.2.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gar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lozim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boshlanmasa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yakunlanmasa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qiymatining</w:t>
      </w:r>
      <w:proofErr w:type="spellEnd"/>
      <w:r w:rsidRPr="00950135">
        <w:rPr>
          <w:sz w:val="18"/>
          <w:szCs w:val="18"/>
          <w:lang w:val="en-US"/>
        </w:rPr>
        <w:t xml:space="preserve"> 0.5%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lastRenderedPageBreak/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Koʼrib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yurist</w:t>
      </w:r>
      <w:proofErr w:type="spellEnd"/>
      <w:r w:rsidRPr="00950135">
        <w:rPr>
          <w:sz w:val="18"/>
          <w:szCs w:val="18"/>
          <w:lang w:val="en-US"/>
        </w:rPr>
        <w:t xml:space="preserve">: </w:t>
      </w:r>
      <w:proofErr w:type="spellStart"/>
      <w:r w:rsidRPr="00950135">
        <w:rPr>
          <w:sz w:val="18"/>
          <w:szCs w:val="18"/>
          <w:lang w:val="en-US"/>
        </w:rPr>
        <w:t>Musayev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Sherbek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Mustafayevich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Hujjat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</w:t>
      </w:r>
      <w:proofErr w:type="spellEnd"/>
      <w:r w:rsidRPr="00950135">
        <w:rPr>
          <w:sz w:val="18"/>
          <w:szCs w:val="18"/>
          <w:lang w:val="en-US"/>
        </w:rPr>
        <w:t xml:space="preserve">: PD5552472136 </w:t>
      </w:r>
      <w:proofErr w:type="spellStart"/>
      <w:r w:rsidRPr="00950135">
        <w:rPr>
          <w:sz w:val="18"/>
          <w:szCs w:val="18"/>
          <w:lang w:val="en-US"/>
        </w:rPr>
        <w:t>qiymatini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kechiktirilgan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oraligʼidagi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keyin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summani</w:t>
      </w:r>
      <w:proofErr w:type="spellEnd"/>
      <w:r w:rsidRPr="00950135">
        <w:rPr>
          <w:sz w:val="18"/>
          <w:szCs w:val="18"/>
          <w:lang w:val="en-US"/>
        </w:rPr>
        <w:t xml:space="preserve"> 0.4%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6.4. </w:t>
      </w:r>
      <w:proofErr w:type="spellStart"/>
      <w:r w:rsidRPr="00950135">
        <w:rPr>
          <w:sz w:val="18"/>
          <w:szCs w:val="18"/>
          <w:lang w:val="en-US"/>
        </w:rPr>
        <w:t>Penyalar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7. FORS-M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JOR HOL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7.1.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gar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qisman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bajarilmasligi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tabiat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xodisalari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urush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ommaviy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tartibsizliklar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hukumat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yengib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boʼlmas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chiqsa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tomonlar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javobgarlikdan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8. KORRUPSIYAGA QARSHI O‘SHIMCHA SHARTLAR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8.1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tuzishda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tugaganidan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so`ng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qilmaslikka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8.2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choralarni</w:t>
      </w:r>
      <w:proofErr w:type="spellEnd"/>
      <w:r w:rsidRPr="00950135">
        <w:rPr>
          <w:sz w:val="18"/>
          <w:szCs w:val="18"/>
          <w:lang w:val="en-US"/>
        </w:rPr>
        <w:t xml:space="preserve"> tan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xamkorlikni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ta`minlaydilar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8.3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bevosita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o`zi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ijroiya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mansabdor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xodimlari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munosobalar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xilof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evaziga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norasmiy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yo`l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qo`yilmaganligini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taklif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va`da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shuningdek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qanday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imtiyoz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ustunliklar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olinmaganligini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kyelajakda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taassurot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qoldirmaganligini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kafolatlaydi.Taraflar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doirasida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jalb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yordamchi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tashkilotlar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agentlar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ostidagi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yuqoridagi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8.4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bo`</w:t>
      </w:r>
      <w:proofErr w:type="gramEnd"/>
      <w:r w:rsidRPr="00950135">
        <w:rPr>
          <w:sz w:val="18"/>
          <w:szCs w:val="18"/>
          <w:lang w:val="en-US"/>
        </w:rPr>
        <w:t>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vakolatli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davlat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darhol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8.5 </w:t>
      </w:r>
      <w:proofErr w:type="spellStart"/>
      <w:r w:rsidRPr="00950135">
        <w:rPr>
          <w:sz w:val="18"/>
          <w:szCs w:val="18"/>
          <w:lang w:val="en-US"/>
        </w:rPr>
        <w:t>Tarfning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qoidabuzarliklarni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tegishli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to`xtatib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turishga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 </w:t>
      </w:r>
      <w:proofErr w:type="spellStart"/>
      <w:r w:rsidRPr="00950135">
        <w:rPr>
          <w:sz w:val="18"/>
          <w:szCs w:val="18"/>
          <w:lang w:val="en-US"/>
        </w:rPr>
        <w:t>QOʼS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>IMCh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9.1.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oʼzgartirish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paydo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avvalo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kelishilmasa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joylashgan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hududdagi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iqtisodiy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9.2.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Fuqarolik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kodeksiga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ilgari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9.3.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31 </w:t>
      </w:r>
      <w:proofErr w:type="spellStart"/>
      <w:r w:rsidRPr="00950135">
        <w:rPr>
          <w:sz w:val="18"/>
          <w:szCs w:val="18"/>
          <w:lang w:val="en-US"/>
        </w:rPr>
        <w:t>dekabrgacha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imzolanib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hududiy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gʼaznachilik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boshqarmasi</w:t>
      </w:r>
      <w:proofErr w:type="spellEnd"/>
      <w:r w:rsidRPr="00950135">
        <w:rPr>
          <w:sz w:val="18"/>
          <w:szCs w:val="18"/>
          <w:lang w:val="en-US"/>
        </w:rPr>
        <w:t>(</w:t>
      </w:r>
      <w:proofErr w:type="spellStart"/>
      <w:proofErr w:type="gramEnd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)da </w:t>
      </w:r>
      <w:proofErr w:type="spellStart"/>
      <w:r w:rsidRPr="00950135">
        <w:rPr>
          <w:sz w:val="18"/>
          <w:szCs w:val="18"/>
          <w:lang w:val="en-US"/>
        </w:rPr>
        <w:t>roʼyxatdan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oʼtkazilganidan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10.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HUQUQIY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NZILI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REKVIZITL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  <w:bookmarkStart w:id="0" w:name="_GoBack"/>
      <w:bookmarkEnd w:id="0"/>
    </w:p>
    <w:tbl>
      <w:tblPr>
        <w:tblW w:w="99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9"/>
        <w:gridCol w:w="5077"/>
      </w:tblGrid>
      <w:tr w:rsidR="00950135" w:rsidRPr="00950135" w:rsidTr="00950135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«IJROCHI»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«BUYURTMACHI»</w:t>
            </w:r>
          </w:p>
        </w:tc>
      </w:tr>
      <w:tr w:rsidR="00950135" w:rsidRPr="00950135" w:rsidTr="00950135">
        <w:trPr>
          <w:trHeight w:val="333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“</w:t>
            </w:r>
            <w:r w:rsidR="00C65ED5">
              <w:rPr>
                <w:rFonts w:ascii="Times New Roman" w:hAnsi="Times New Roman"/>
                <w:sz w:val="18"/>
                <w:szCs w:val="18"/>
                <w:lang w:val="en-US" w:bidi="hi-IN"/>
              </w:rPr>
              <w:t>____________________________________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”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Tel: 998   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X/r:,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C65ED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Raxbar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                            </w:t>
            </w:r>
          </w:p>
          <w:p w:rsidR="00950135" w:rsidRPr="00C65ED5" w:rsidRDefault="00950135" w:rsidP="00C65ED5">
            <w:pPr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xalq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ta’limi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bo‘limi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sh.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G.Farmonova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, 17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uy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Tel./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faks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+(8 373) 244-33-53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1000228603400179096300075050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 200150971,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 97600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bo‘yicha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YaG‘H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23 402 000 300 100 001 010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Markaziy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bankning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Toshkent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Bosh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boshqarmasi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Hisob-kitob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kassa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(HKKM)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MFO:00014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STIR: 201122919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Mudir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                       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G.A.Xalilova</w:t>
            </w:r>
            <w:proofErr w:type="spellEnd"/>
          </w:p>
        </w:tc>
      </w:tr>
    </w:tbl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sectPr w:rsidR="00950135" w:rsidRPr="00950135" w:rsidSect="00286ED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5"/>
    <w:rsid w:val="001C685B"/>
    <w:rsid w:val="00286ED7"/>
    <w:rsid w:val="002B415F"/>
    <w:rsid w:val="00950135"/>
    <w:rsid w:val="00C65ED5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2022-02-25T11:35:00Z</dcterms:created>
  <dcterms:modified xsi:type="dcterms:W3CDTF">2022-05-18T10:47:00Z</dcterms:modified>
</cp:coreProperties>
</file>